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B34" w14:textId="77777777" w:rsidR="00F37025" w:rsidRDefault="00F37025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6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290"/>
      </w:tblGrid>
      <w:tr w:rsidR="000E4CCA" w:rsidRPr="00DB5C81" w14:paraId="4DB5EAAA" w14:textId="77777777" w:rsidTr="00DA3425">
        <w:trPr>
          <w:trHeight w:val="320"/>
        </w:trPr>
        <w:tc>
          <w:tcPr>
            <w:tcW w:w="1625" w:type="pct"/>
            <w:vAlign w:val="center"/>
          </w:tcPr>
          <w:p w14:paraId="44FE4AD8" w14:textId="77777777" w:rsidR="000E4CCA" w:rsidRPr="00C24D95" w:rsidRDefault="000E4CCA" w:rsidP="007B07D5">
            <w:pPr>
              <w:ind w:right="66"/>
              <w:rPr>
                <w:bCs/>
              </w:rPr>
            </w:pPr>
            <w:r w:rsidRPr="00C24D95">
              <w:rPr>
                <w:bCs/>
              </w:rPr>
              <w:t xml:space="preserve">Member Agency/Institution: </w:t>
            </w:r>
          </w:p>
        </w:tc>
        <w:tc>
          <w:tcPr>
            <w:tcW w:w="3375" w:type="pct"/>
            <w:tcBorders>
              <w:bottom w:val="single" w:sz="4" w:space="0" w:color="auto"/>
            </w:tcBorders>
          </w:tcPr>
          <w:p w14:paraId="6A8A10DD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41DF91B3" w14:textId="77777777" w:rsidTr="00DA3425">
        <w:trPr>
          <w:trHeight w:val="333"/>
        </w:trPr>
        <w:tc>
          <w:tcPr>
            <w:tcW w:w="1625" w:type="pct"/>
            <w:vAlign w:val="center"/>
          </w:tcPr>
          <w:p w14:paraId="56F869AD" w14:textId="6CDF357F" w:rsidR="000E4CCA" w:rsidRPr="00C24D95" w:rsidRDefault="00E95EF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 xml:space="preserve">Chief </w:t>
            </w:r>
            <w:r w:rsidR="009543B9">
              <w:rPr>
                <w:bCs/>
              </w:rPr>
              <w:t>Human Resources</w:t>
            </w:r>
            <w:r w:rsidRPr="00C24D95">
              <w:rPr>
                <w:bCs/>
              </w:rPr>
              <w:t xml:space="preserve"> Officer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375" w:type="pct"/>
            <w:tcBorders>
              <w:top w:val="single" w:sz="4" w:space="0" w:color="auto"/>
              <w:bottom w:val="single" w:sz="4" w:space="0" w:color="auto"/>
            </w:tcBorders>
          </w:tcPr>
          <w:p w14:paraId="12FAFD99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122B9A94" w14:textId="77777777" w:rsidTr="00DA3425">
        <w:trPr>
          <w:trHeight w:val="320"/>
        </w:trPr>
        <w:tc>
          <w:tcPr>
            <w:tcW w:w="1625" w:type="pct"/>
            <w:vAlign w:val="center"/>
          </w:tcPr>
          <w:p w14:paraId="38E565EE" w14:textId="37DAAD1E" w:rsidR="000E4CCA" w:rsidRPr="00C24D95" w:rsidRDefault="004657A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>Review</w:t>
            </w:r>
            <w:r w:rsidR="00C24D95" w:rsidRPr="00C24D95">
              <w:rPr>
                <w:bCs/>
              </w:rPr>
              <w:t xml:space="preserve"> Completed by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375" w:type="pct"/>
            <w:tcBorders>
              <w:top w:val="single" w:sz="4" w:space="0" w:color="auto"/>
              <w:bottom w:val="single" w:sz="4" w:space="0" w:color="auto"/>
            </w:tcBorders>
          </w:tcPr>
          <w:p w14:paraId="5384367F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</w:tbl>
    <w:p w14:paraId="737EA37A" w14:textId="77777777" w:rsidR="000E4CCA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p w14:paraId="61B70316" w14:textId="77777777" w:rsidR="000E4CCA" w:rsidRPr="004E29E9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0"/>
        <w:gridCol w:w="5580"/>
        <w:gridCol w:w="1350"/>
      </w:tblGrid>
      <w:tr w:rsidR="00403DDD" w:rsidRPr="007F0F5E" w14:paraId="70DABF05" w14:textId="77777777" w:rsidTr="00154897">
        <w:trPr>
          <w:trHeight w:val="1152"/>
        </w:trPr>
        <w:tc>
          <w:tcPr>
            <w:tcW w:w="3960" w:type="dxa"/>
            <w:shd w:val="clear" w:color="auto" w:fill="EEECE1" w:themeFill="background2"/>
            <w:vAlign w:val="center"/>
          </w:tcPr>
          <w:p w14:paraId="7A5D4EFC" w14:textId="1FFE5581" w:rsidR="00403DDD" w:rsidRDefault="00DA3425" w:rsidP="00E352D6">
            <w:pPr>
              <w:spacing w:before="100" w:after="100"/>
              <w:ind w:right="61"/>
              <w:rPr>
                <w:b/>
              </w:rPr>
            </w:pPr>
            <w:r>
              <w:rPr>
                <w:b/>
              </w:rPr>
              <w:t>HUMAN RESOURCES</w:t>
            </w:r>
          </w:p>
        </w:tc>
        <w:tc>
          <w:tcPr>
            <w:tcW w:w="5580" w:type="dxa"/>
            <w:shd w:val="clear" w:color="auto" w:fill="EEECE1" w:themeFill="background2"/>
            <w:vAlign w:val="center"/>
          </w:tcPr>
          <w:p w14:paraId="6B92A759" w14:textId="77777777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Summary of Action Taken</w:t>
            </w:r>
          </w:p>
          <w:p w14:paraId="3BF6B604" w14:textId="5A117A6E" w:rsidR="00403DDD" w:rsidRPr="00F25A90" w:rsidRDefault="00403DDD" w:rsidP="00E352D6">
            <w:pPr>
              <w:spacing w:before="100" w:after="100"/>
              <w:contextualSpacing/>
              <w:rPr>
                <w:b/>
                <w:i/>
                <w:iCs/>
                <w:sz w:val="18"/>
                <w:szCs w:val="18"/>
              </w:rPr>
            </w:pPr>
            <w:r w:rsidRPr="00F25A90">
              <w:rPr>
                <w:b/>
                <w:i/>
                <w:iCs/>
                <w:sz w:val="18"/>
                <w:szCs w:val="18"/>
              </w:rPr>
              <w:t>(identify documented evidence used in the process)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2B18F7F" w14:textId="643E490F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Date Verified</w:t>
            </w:r>
          </w:p>
        </w:tc>
      </w:tr>
      <w:tr w:rsidR="007160DD" w:rsidRPr="007F0F5E" w14:paraId="70442D8E" w14:textId="77777777" w:rsidTr="006F406C">
        <w:trPr>
          <w:trHeight w:val="1097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5FC0532F" w14:textId="0389F825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DEI Related Offices and Third-Party Contracts</w:t>
            </w:r>
            <w:r w:rsidRPr="004F460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>the member has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complied with the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>elimination of departments, divisions, and/or offices that violate the DEI Law as implemented by System Policy 08.01, Civil Rights Compliance and Protections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160DD" w:rsidRPr="007F0F5E" w14:paraId="127255E7" w14:textId="77777777" w:rsidTr="006F406C">
        <w:trPr>
          <w:trHeight w:val="1430"/>
        </w:trPr>
        <w:tc>
          <w:tcPr>
            <w:tcW w:w="3960" w:type="dxa"/>
            <w:shd w:val="clear" w:color="auto" w:fill="auto"/>
            <w:vAlign w:val="center"/>
          </w:tcPr>
          <w:p w14:paraId="02949E9F" w14:textId="415776EC" w:rsidR="007160DD" w:rsidRPr="00753F1B" w:rsidRDefault="00753F1B" w:rsidP="00753F1B">
            <w:pPr>
              <w:numPr>
                <w:ilvl w:val="0"/>
                <w:numId w:val="21"/>
              </w:numPr>
              <w:spacing w:before="100" w:after="100"/>
              <w:ind w:left="255" w:right="61" w:hanging="195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</w:t>
            </w:r>
            <w:r w:rsidRPr="002D6970">
              <w:rPr>
                <w:sz w:val="20"/>
                <w:szCs w:val="20"/>
              </w:rPr>
              <w:t xml:space="preserve">dentified offices, divisions, or other units that are responsible for diversity, equity, and inclusion initiatives </w:t>
            </w:r>
            <w:r>
              <w:rPr>
                <w:sz w:val="20"/>
                <w:szCs w:val="20"/>
              </w:rPr>
              <w:t xml:space="preserve">and took action to </w:t>
            </w:r>
            <w:r w:rsidRPr="002D6970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e</w:t>
            </w:r>
            <w:r w:rsidRPr="002D6970">
              <w:rPr>
                <w:sz w:val="20"/>
                <w:szCs w:val="20"/>
              </w:rPr>
              <w:t xml:space="preserve"> compliance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C180472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6F8C9E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7160DD" w:rsidRPr="007F0F5E" w14:paraId="7FE68D94" w14:textId="77777777" w:rsidTr="006F406C">
        <w:trPr>
          <w:trHeight w:val="1340"/>
        </w:trPr>
        <w:tc>
          <w:tcPr>
            <w:tcW w:w="3960" w:type="dxa"/>
            <w:shd w:val="clear" w:color="auto" w:fill="auto"/>
            <w:vAlign w:val="center"/>
          </w:tcPr>
          <w:p w14:paraId="475643DA" w14:textId="154EFA79" w:rsidR="007160DD" w:rsidRPr="00C900CA" w:rsidRDefault="00C900CA" w:rsidP="00C900CA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 xml:space="preserve">Identified third-party vendors performing the duties of a diversity, equity, and inclusion office and took action to </w:t>
            </w:r>
            <w:r w:rsidRPr="002D6970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e</w:t>
            </w:r>
            <w:r w:rsidRPr="002D6970">
              <w:rPr>
                <w:sz w:val="20"/>
                <w:szCs w:val="20"/>
              </w:rPr>
              <w:t xml:space="preserve"> compliance</w:t>
            </w:r>
            <w:r w:rsidR="007160DD">
              <w:rPr>
                <w:sz w:val="20"/>
                <w:szCs w:val="20"/>
              </w:rPr>
              <w:t>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7EF1ED1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7E1B36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C900CA" w:rsidRPr="007F0F5E" w14:paraId="63A59D69" w14:textId="77777777" w:rsidTr="006F406C">
        <w:trPr>
          <w:trHeight w:val="818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35E314E6" w14:textId="711EABDB" w:rsidR="00C900CA" w:rsidRDefault="00CD3372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Personnel</w:t>
            </w:r>
            <w:r w:rsidRPr="005B72E6">
              <w:rPr>
                <w:b/>
                <w:sz w:val="20"/>
                <w:szCs w:val="20"/>
                <w:u w:val="single"/>
              </w:rPr>
              <w:t>:</w:t>
            </w:r>
            <w:r w:rsidRPr="00DF2502">
              <w:rPr>
                <w:b/>
                <w:sz w:val="20"/>
                <w:szCs w:val="20"/>
              </w:rPr>
              <w:t xml:space="preserve"> 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the member has 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>complied with the restriction on hiring or assigning employees to perform the duties of diversity, equity, and inclusion.</w:t>
            </w:r>
          </w:p>
        </w:tc>
      </w:tr>
      <w:tr w:rsidR="007160DD" w:rsidRPr="007F0F5E" w14:paraId="5BDD0328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2D1E525E" w14:textId="28F456F4" w:rsidR="007160DD" w:rsidRPr="00D8123F" w:rsidRDefault="00E835CB" w:rsidP="007160DD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I</w:t>
            </w:r>
            <w:r w:rsidRPr="00D126A2">
              <w:rPr>
                <w:sz w:val="20"/>
                <w:szCs w:val="20"/>
              </w:rPr>
              <w:t xml:space="preserve">dentified </w:t>
            </w:r>
            <w:r>
              <w:rPr>
                <w:sz w:val="20"/>
                <w:szCs w:val="20"/>
              </w:rPr>
              <w:t xml:space="preserve">active </w:t>
            </w:r>
            <w:r w:rsidRPr="00D126A2">
              <w:rPr>
                <w:sz w:val="20"/>
                <w:szCs w:val="20"/>
              </w:rPr>
              <w:t xml:space="preserve">personnel with responsibilities for performing diversity, equity, and inclusion functions and </w:t>
            </w:r>
            <w:r>
              <w:rPr>
                <w:sz w:val="20"/>
                <w:szCs w:val="20"/>
              </w:rPr>
              <w:t xml:space="preserve">took action to </w:t>
            </w:r>
            <w:r w:rsidRPr="002D6970">
              <w:rPr>
                <w:sz w:val="20"/>
                <w:szCs w:val="20"/>
              </w:rPr>
              <w:t>ensur</w:t>
            </w:r>
            <w:r>
              <w:rPr>
                <w:sz w:val="20"/>
                <w:szCs w:val="20"/>
              </w:rPr>
              <w:t>e</w:t>
            </w:r>
            <w:r w:rsidRPr="002D6970">
              <w:rPr>
                <w:sz w:val="20"/>
                <w:szCs w:val="20"/>
              </w:rPr>
              <w:t xml:space="preserve"> compliance</w:t>
            </w:r>
            <w:r>
              <w:rPr>
                <w:sz w:val="20"/>
                <w:szCs w:val="20"/>
              </w:rPr>
              <w:t>.</w:t>
            </w:r>
          </w:p>
          <w:p w14:paraId="62EA2630" w14:textId="208741AD" w:rsidR="007160DD" w:rsidRPr="00AD4592" w:rsidRDefault="007160DD" w:rsidP="007160DD">
            <w:pPr>
              <w:pStyle w:val="ListParagraph"/>
              <w:spacing w:before="100" w:after="100"/>
              <w:ind w:left="230" w:right="61"/>
              <w:rPr>
                <w:b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14:paraId="77125E7E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BFEC68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7160DD" w:rsidRPr="007F0F5E" w14:paraId="15B3275E" w14:textId="77777777" w:rsidTr="006F406C">
        <w:trPr>
          <w:trHeight w:val="1520"/>
        </w:trPr>
        <w:tc>
          <w:tcPr>
            <w:tcW w:w="3960" w:type="dxa"/>
            <w:shd w:val="clear" w:color="auto" w:fill="auto"/>
            <w:vAlign w:val="center"/>
          </w:tcPr>
          <w:p w14:paraId="48CF0A45" w14:textId="337BEAC0" w:rsidR="007160DD" w:rsidRPr="00A50165" w:rsidRDefault="00873E22" w:rsidP="007160DD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>
              <w:rPr>
                <w:sz w:val="20"/>
                <w:szCs w:val="20"/>
              </w:rPr>
              <w:t>Identified unallowable personnel duties within active and inactive job descriptions and working templates for language that violates DEI Law and took action to ensure compliance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C8B9940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82F9BA" w14:textId="77777777" w:rsidR="007160DD" w:rsidRDefault="007160DD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6F08A0" w:rsidRPr="007F0F5E" w14:paraId="5CDEA5FA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00783867" w14:textId="055A93A5" w:rsidR="006F08A0" w:rsidRDefault="005B4180" w:rsidP="007160DD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employee funding sources that violate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F188550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ABF02E4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5B4180" w:rsidRPr="007F0F5E" w14:paraId="17E29156" w14:textId="77777777" w:rsidTr="006F406C">
        <w:trPr>
          <w:trHeight w:val="1520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322A3290" w14:textId="683FF507" w:rsidR="005B4180" w:rsidRDefault="006F406C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 w:rsidRPr="007F0F5E">
              <w:rPr>
                <w:b/>
                <w:sz w:val="20"/>
                <w:szCs w:val="20"/>
                <w:u w:val="single"/>
              </w:rPr>
              <w:lastRenderedPageBreak/>
              <w:t xml:space="preserve">Hiring </w:t>
            </w:r>
            <w:r>
              <w:rPr>
                <w:b/>
                <w:sz w:val="20"/>
                <w:szCs w:val="20"/>
                <w:u w:val="single"/>
              </w:rPr>
              <w:t xml:space="preserve">and Employment Practices and </w:t>
            </w:r>
            <w:r w:rsidRPr="007F0F5E">
              <w:rPr>
                <w:b/>
                <w:sz w:val="20"/>
                <w:szCs w:val="20"/>
                <w:u w:val="single"/>
              </w:rPr>
              <w:t>Procedures</w:t>
            </w:r>
            <w:r w:rsidRPr="0004701E">
              <w:rPr>
                <w:b/>
                <w:sz w:val="20"/>
                <w:szCs w:val="20"/>
              </w:rPr>
              <w:t xml:space="preserve">: </w:t>
            </w:r>
            <w:r w:rsidRPr="007614D9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member </w:t>
            </w:r>
            <w:r w:rsidRPr="007614D9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hiring and employment practices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and procedures </w:t>
            </w:r>
            <w:r w:rsidRPr="007614D9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have been updated to exclude requirements for DEI statements and do not provide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special benefit or promote </w:t>
            </w:r>
            <w:r w:rsidRPr="007614D9">
              <w:rPr>
                <w:rFonts w:ascii="Cambria" w:hAnsi="Cambria" w:cs="Arial"/>
                <w:i/>
                <w:iCs/>
                <w:sz w:val="22"/>
                <w:szCs w:val="22"/>
              </w:rPr>
              <w:t>preferential treatment on the basis of race, sex, color, ethnicity, or national origin to an applicant for employment, an employee, or a participant in any function of the institution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relating to this process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>.</w:t>
            </w:r>
          </w:p>
        </w:tc>
      </w:tr>
      <w:tr w:rsidR="006F08A0" w:rsidRPr="007F0F5E" w14:paraId="63B489E1" w14:textId="77777777" w:rsidTr="00A25156">
        <w:trPr>
          <w:trHeight w:val="2510"/>
        </w:trPr>
        <w:tc>
          <w:tcPr>
            <w:tcW w:w="3960" w:type="dxa"/>
            <w:shd w:val="clear" w:color="auto" w:fill="auto"/>
            <w:vAlign w:val="center"/>
          </w:tcPr>
          <w:p w14:paraId="30BDA909" w14:textId="3D8D9ADA" w:rsidR="006F08A0" w:rsidRPr="00A25156" w:rsidRDefault="00A25156" w:rsidP="00A25156">
            <w:pPr>
              <w:numPr>
                <w:ilvl w:val="0"/>
                <w:numId w:val="21"/>
              </w:numPr>
              <w:spacing w:before="100" w:after="100"/>
              <w:ind w:left="255" w:right="61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Reviewed hiring and employment documents and materials, to include rubrics and matrices, and identified prohibited language, requirements, practices and/or procedures took action to ensure compliance. </w:t>
            </w:r>
            <w:r w:rsidRPr="00CE41E1">
              <w:rPr>
                <w:i/>
                <w:iCs/>
                <w:sz w:val="20"/>
                <w:szCs w:val="20"/>
              </w:rPr>
              <w:t xml:space="preserve">(See DEI Law Operations Manual </w:t>
            </w:r>
            <w:r>
              <w:rPr>
                <w:i/>
                <w:iCs/>
                <w:sz w:val="20"/>
                <w:szCs w:val="20"/>
              </w:rPr>
              <w:t xml:space="preserve">under IV. Monitoring, </w:t>
            </w:r>
            <w:r w:rsidRPr="00CE41E1">
              <w:rPr>
                <w:i/>
                <w:iCs/>
                <w:sz w:val="20"/>
                <w:szCs w:val="20"/>
              </w:rPr>
              <w:t xml:space="preserve">Section B, </w:t>
            </w:r>
            <w:r>
              <w:rPr>
                <w:i/>
                <w:iCs/>
                <w:sz w:val="20"/>
                <w:szCs w:val="20"/>
              </w:rPr>
              <w:t xml:space="preserve">Item </w:t>
            </w:r>
            <w:r w:rsidRPr="00CE41E1">
              <w:rPr>
                <w:i/>
                <w:iCs/>
                <w:sz w:val="20"/>
                <w:szCs w:val="20"/>
              </w:rPr>
              <w:t>2c for a comprehensive list.)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70A8C7E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ABCAFE3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6F08A0" w:rsidRPr="007F0F5E" w14:paraId="3F0F2269" w14:textId="77777777" w:rsidTr="0039225F">
        <w:trPr>
          <w:trHeight w:val="2060"/>
        </w:trPr>
        <w:tc>
          <w:tcPr>
            <w:tcW w:w="3960" w:type="dxa"/>
            <w:shd w:val="clear" w:color="auto" w:fill="auto"/>
            <w:vAlign w:val="center"/>
          </w:tcPr>
          <w:p w14:paraId="201A6497" w14:textId="0562EA40" w:rsidR="006F08A0" w:rsidRPr="00DD1DD0" w:rsidRDefault="00DD1DD0" w:rsidP="00DD1DD0">
            <w:pPr>
              <w:numPr>
                <w:ilvl w:val="0"/>
                <w:numId w:val="21"/>
              </w:numPr>
              <w:spacing w:before="100" w:after="100"/>
              <w:ind w:left="255" w:right="61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performance evaluation tools and metrics, documents and forms for promotions, merit increases, and equity adjustments, and all related procedures; identified prohibited language and/or requirements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F91C541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4924A3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6F08A0" w:rsidRPr="007F0F5E" w14:paraId="5E070D6E" w14:textId="77777777" w:rsidTr="0039225F">
        <w:trPr>
          <w:trHeight w:val="1610"/>
        </w:trPr>
        <w:tc>
          <w:tcPr>
            <w:tcW w:w="3960" w:type="dxa"/>
            <w:shd w:val="clear" w:color="auto" w:fill="auto"/>
            <w:vAlign w:val="center"/>
          </w:tcPr>
          <w:p w14:paraId="6F44442A" w14:textId="1FDC4640" w:rsidR="006F08A0" w:rsidRPr="0039225F" w:rsidRDefault="0039225F" w:rsidP="0039225F">
            <w:pPr>
              <w:numPr>
                <w:ilvl w:val="0"/>
                <w:numId w:val="21"/>
              </w:numPr>
              <w:spacing w:before="100" w:after="100"/>
              <w:ind w:left="255" w:right="61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a system of systemic evaluation and review to vet proposed positions, processes, and materials to ensure they meet compliance prior to publication.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8F7F3B3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B4CD7FE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6F406C" w:rsidRPr="007F0F5E" w14:paraId="00FB8856" w14:textId="77777777" w:rsidTr="00321657">
        <w:trPr>
          <w:trHeight w:val="1152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294CC3AD" w14:textId="119D8623" w:rsidR="006F406C" w:rsidRDefault="005241F6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u w:val="single"/>
              </w:rPr>
              <w:t>Training Sessions and Materials</w:t>
            </w:r>
            <w:r w:rsidRPr="004F460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>the member has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complied with the 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elimination of required training sessions and materials 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>that</w:t>
            </w:r>
            <w:r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violate the DEI Law as implemented by System Policy 08.01, Civil Rights Compliance and Protections</w:t>
            </w:r>
            <w:r w:rsidRPr="009D4A2E">
              <w:rPr>
                <w:rFonts w:ascii="Cambria" w:hAnsi="Cambria" w:cs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6F08A0" w:rsidRPr="007F0F5E" w14:paraId="58D9E36F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4CA9FF77" w14:textId="7E58F539" w:rsidR="006F08A0" w:rsidRDefault="002A0A5D" w:rsidP="007160DD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required training sessions for those identified as prohibited by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0BA693A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A6391B6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6F08A0" w:rsidRPr="007F0F5E" w14:paraId="2483E89F" w14:textId="77777777" w:rsidTr="0073687C">
        <w:trPr>
          <w:trHeight w:val="1268"/>
        </w:trPr>
        <w:tc>
          <w:tcPr>
            <w:tcW w:w="3960" w:type="dxa"/>
            <w:shd w:val="clear" w:color="auto" w:fill="auto"/>
            <w:vAlign w:val="center"/>
          </w:tcPr>
          <w:p w14:paraId="39F6FDF4" w14:textId="484E4752" w:rsidR="006F08A0" w:rsidRDefault="008C760B" w:rsidP="007160DD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Reviewed all training sessions and materials for language and elements prohibited by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379514E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0310B1A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6F08A0" w:rsidRPr="007F0F5E" w14:paraId="10441D10" w14:textId="77777777" w:rsidTr="00154897">
        <w:trPr>
          <w:trHeight w:val="1152"/>
        </w:trPr>
        <w:tc>
          <w:tcPr>
            <w:tcW w:w="3960" w:type="dxa"/>
            <w:shd w:val="clear" w:color="auto" w:fill="auto"/>
            <w:vAlign w:val="center"/>
          </w:tcPr>
          <w:p w14:paraId="58131A85" w14:textId="3F4D6F89" w:rsidR="006F08A0" w:rsidRDefault="0073687C" w:rsidP="007160DD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procedures to review proposed training sessions and materials for compliance prior to activation.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FED3882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A9DBC0C" w14:textId="77777777" w:rsidR="006F08A0" w:rsidRDefault="006F08A0" w:rsidP="007160DD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4DDBEF00" w14:textId="77777777" w:rsidR="003717E7" w:rsidRPr="00DF1C09" w:rsidRDefault="003717E7" w:rsidP="00C66B36">
      <w:pPr>
        <w:spacing w:before="100" w:after="100"/>
        <w:ind w:left="-720" w:right="241" w:hanging="18"/>
      </w:pPr>
    </w:p>
    <w:p w14:paraId="5630AD66" w14:textId="1CC58FB0" w:rsidR="00034A54" w:rsidRPr="007405EC" w:rsidRDefault="006803DD" w:rsidP="000D6A63">
      <w:pPr>
        <w:spacing w:before="100" w:after="100"/>
        <w:ind w:right="241"/>
        <w:rPr>
          <w:b/>
          <w:i/>
          <w:iCs/>
        </w:rPr>
      </w:pPr>
      <w:r w:rsidRPr="007F0F5E">
        <w:rPr>
          <w:b/>
        </w:rPr>
        <w:lastRenderedPageBreak/>
        <w:t>SUMMARY</w:t>
      </w:r>
      <w:r w:rsidR="00F3213C">
        <w:rPr>
          <w:b/>
        </w:rPr>
        <w:t xml:space="preserve"> OF FINDINGS</w:t>
      </w:r>
      <w:r w:rsidRPr="007F0F5E">
        <w:rPr>
          <w:b/>
        </w:rPr>
        <w:t>:</w:t>
      </w:r>
      <w:r w:rsidR="007405EC">
        <w:rPr>
          <w:b/>
        </w:rPr>
        <w:t xml:space="preserve"> </w:t>
      </w:r>
      <w:r w:rsidR="007405EC" w:rsidRPr="007405EC">
        <w:rPr>
          <w:bCs/>
          <w:i/>
          <w:iCs/>
        </w:rPr>
        <w:t xml:space="preserve">(to be completed by Member </w:t>
      </w:r>
      <w:r w:rsidR="00DE5A68">
        <w:rPr>
          <w:bCs/>
          <w:i/>
          <w:iCs/>
        </w:rPr>
        <w:t xml:space="preserve">Ethics &amp; </w:t>
      </w:r>
      <w:r w:rsidR="007405EC" w:rsidRPr="007405EC">
        <w:rPr>
          <w:bCs/>
          <w:i/>
          <w:iCs/>
        </w:rPr>
        <w:t>Compliance Officer)</w:t>
      </w:r>
    </w:p>
    <w:p w14:paraId="409607A4" w14:textId="705BBB23" w:rsidR="00D8123F" w:rsidRDefault="00D8123F" w:rsidP="000D6A63">
      <w:pPr>
        <w:spacing w:before="100" w:after="100"/>
        <w:ind w:right="241"/>
        <w:rPr>
          <w:bCs/>
        </w:rPr>
      </w:pPr>
    </w:p>
    <w:p w14:paraId="0CA58E4E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2C1F0BA4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47909701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75874ECB" w14:textId="77777777" w:rsidR="006E1647" w:rsidRPr="000B7C4B" w:rsidRDefault="006E1647" w:rsidP="000D6A63">
      <w:pPr>
        <w:spacing w:before="100" w:after="100"/>
        <w:ind w:right="241"/>
        <w:rPr>
          <w:bCs/>
        </w:rPr>
      </w:pPr>
    </w:p>
    <w:tbl>
      <w:tblPr>
        <w:tblStyle w:val="TableGrid"/>
        <w:tblpPr w:leftFromText="180" w:rightFromText="180" w:vertAnchor="text" w:horzAnchor="margin" w:tblpY="1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"/>
        <w:gridCol w:w="8755"/>
      </w:tblGrid>
      <w:tr w:rsidR="00F01F31" w14:paraId="57B14D77" w14:textId="77777777" w:rsidTr="00F01F31">
        <w:trPr>
          <w:trHeight w:val="297"/>
        </w:trPr>
        <w:tc>
          <w:tcPr>
            <w:tcW w:w="558" w:type="dxa"/>
            <w:tcBorders>
              <w:bottom w:val="single" w:sz="4" w:space="0" w:color="auto"/>
            </w:tcBorders>
          </w:tcPr>
          <w:p w14:paraId="17A53622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81A8733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6CC188FD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</w:t>
            </w:r>
          </w:p>
        </w:tc>
      </w:tr>
      <w:tr w:rsidR="00F01F31" w14:paraId="029A2AB4" w14:textId="77777777" w:rsidTr="00F01F31">
        <w:trPr>
          <w:trHeight w:val="297"/>
        </w:trPr>
        <w:tc>
          <w:tcPr>
            <w:tcW w:w="558" w:type="dxa"/>
            <w:tcBorders>
              <w:top w:val="single" w:sz="4" w:space="0" w:color="auto"/>
            </w:tcBorders>
          </w:tcPr>
          <w:p w14:paraId="47F5BC4D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945A94B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07C7B7C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28F23E4A" w14:textId="77777777" w:rsidTr="00F01F31">
        <w:trPr>
          <w:trHeight w:val="269"/>
        </w:trPr>
        <w:tc>
          <w:tcPr>
            <w:tcW w:w="558" w:type="dxa"/>
            <w:tcBorders>
              <w:bottom w:val="single" w:sz="4" w:space="0" w:color="auto"/>
            </w:tcBorders>
          </w:tcPr>
          <w:p w14:paraId="6F64E905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D4C566A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49BD2C9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 after implementing recommendations</w:t>
            </w:r>
          </w:p>
        </w:tc>
      </w:tr>
      <w:tr w:rsidR="00F01F31" w14:paraId="5C3016CC" w14:textId="77777777" w:rsidTr="00F01F31">
        <w:trPr>
          <w:trHeight w:val="269"/>
        </w:trPr>
        <w:tc>
          <w:tcPr>
            <w:tcW w:w="558" w:type="dxa"/>
            <w:tcBorders>
              <w:top w:val="single" w:sz="4" w:space="0" w:color="auto"/>
            </w:tcBorders>
          </w:tcPr>
          <w:p w14:paraId="704C6B7B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EC43C47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09494D88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792FE118" w14:textId="77777777" w:rsidTr="00F01F31">
        <w:trPr>
          <w:trHeight w:val="557"/>
        </w:trPr>
        <w:tc>
          <w:tcPr>
            <w:tcW w:w="558" w:type="dxa"/>
            <w:tcBorders>
              <w:bottom w:val="single" w:sz="4" w:space="0" w:color="auto"/>
            </w:tcBorders>
          </w:tcPr>
          <w:p w14:paraId="3BE77962" w14:textId="77777777" w:rsidR="00F01F31" w:rsidRDefault="00F01F31" w:rsidP="00F01F31">
            <w:pPr>
              <w:jc w:val="center"/>
              <w:rPr>
                <w:b/>
              </w:rPr>
            </w:pPr>
          </w:p>
          <w:p w14:paraId="3A28864F" w14:textId="77777777" w:rsidR="00F01F31" w:rsidRPr="00034A54" w:rsidRDefault="00F01F31" w:rsidP="00F01F31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FB55925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2B29AF1E" w14:textId="77777777" w:rsidR="00F01F31" w:rsidRPr="007372A0" w:rsidRDefault="00F01F31" w:rsidP="00F01F31">
            <w:pPr>
              <w:tabs>
                <w:tab w:val="left" w:pos="1062"/>
              </w:tabs>
              <w:rPr>
                <w:b/>
                <w:u w:val="single"/>
              </w:rPr>
            </w:pPr>
            <w:r w:rsidRPr="007372A0">
              <w:t>Factors preventing compliance as agency/institute of higher learning has not implemented recommendations on statutory/regulatory requirements</w:t>
            </w:r>
          </w:p>
        </w:tc>
      </w:tr>
    </w:tbl>
    <w:p w14:paraId="61829076" w14:textId="77777777" w:rsidR="006803DD" w:rsidRPr="00D8123F" w:rsidRDefault="006803DD" w:rsidP="000D6A63">
      <w:pPr>
        <w:tabs>
          <w:tab w:val="left" w:pos="540"/>
        </w:tabs>
        <w:spacing w:before="100" w:after="100"/>
        <w:ind w:right="241"/>
        <w:rPr>
          <w:bCs/>
          <w:i/>
          <w:iCs/>
          <w:sz w:val="20"/>
          <w:szCs w:val="20"/>
        </w:rPr>
      </w:pPr>
    </w:p>
    <w:p w14:paraId="65F9C3DC" w14:textId="77777777" w:rsidR="003717E7" w:rsidRDefault="003717E7" w:rsidP="000D6A63">
      <w:pPr>
        <w:spacing w:before="100" w:after="100"/>
        <w:ind w:right="241"/>
        <w:rPr>
          <w:b/>
        </w:rPr>
      </w:pPr>
    </w:p>
    <w:p w14:paraId="121FD38A" w14:textId="79036637" w:rsidR="00BF3053" w:rsidRPr="00767AA9" w:rsidRDefault="00BF3053" w:rsidP="000D6A63">
      <w:pPr>
        <w:rPr>
          <w:sz w:val="12"/>
          <w:szCs w:val="20"/>
        </w:rPr>
      </w:pPr>
    </w:p>
    <w:p w14:paraId="3FEA8A97" w14:textId="357A8C6B" w:rsidR="001C2D52" w:rsidRPr="008B181B" w:rsidRDefault="008B181B" w:rsidP="000D6A63">
      <w:pPr>
        <w:spacing w:line="360" w:lineRule="auto"/>
        <w:ind w:right="-900"/>
        <w:rPr>
          <w:b/>
          <w:bCs/>
          <w:u w:val="single"/>
        </w:rPr>
      </w:pPr>
      <w:r w:rsidRPr="008B181B">
        <w:rPr>
          <w:b/>
          <w:bCs/>
          <w:u w:val="single"/>
        </w:rPr>
        <w:t>SIGNATURES</w:t>
      </w:r>
    </w:p>
    <w:p w14:paraId="0D69E7C4" w14:textId="54DDAB98" w:rsidR="00F13E65" w:rsidRPr="00EB3D4D" w:rsidRDefault="00F13E65" w:rsidP="000D6A63">
      <w:pPr>
        <w:spacing w:line="360" w:lineRule="auto"/>
        <w:ind w:right="-900"/>
      </w:pPr>
    </w:p>
    <w:p w14:paraId="2E9BC1D6" w14:textId="7F394CBD" w:rsidR="00EB3D4D" w:rsidRPr="00EB3D4D" w:rsidRDefault="00EB3D4D" w:rsidP="00EB3D4D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="00C8082A">
        <w:rPr>
          <w:u w:val="single"/>
        </w:rPr>
        <w:t>________________</w:t>
      </w:r>
    </w:p>
    <w:p w14:paraId="4D7F62FA" w14:textId="59D8E8CF" w:rsidR="000F732F" w:rsidRPr="00EB3D4D" w:rsidRDefault="00EB3D4D" w:rsidP="000D6A63">
      <w:pPr>
        <w:spacing w:line="360" w:lineRule="auto"/>
        <w:ind w:right="-900"/>
      </w:pPr>
      <w:r w:rsidRPr="00EB3D4D">
        <w:t xml:space="preserve">Employee </w:t>
      </w:r>
      <w:r w:rsidR="004657A8">
        <w:t>Completing Checklist</w:t>
      </w:r>
      <w:r w:rsidR="004657A8">
        <w:tab/>
      </w:r>
      <w:r w:rsidR="004657A8">
        <w:tab/>
      </w:r>
      <w:r w:rsidRPr="00EB3D4D">
        <w:tab/>
      </w:r>
      <w:r w:rsidRPr="00EB3D4D">
        <w:tab/>
        <w:t>Title</w:t>
      </w:r>
    </w:p>
    <w:p w14:paraId="53508527" w14:textId="77777777" w:rsidR="000F732F" w:rsidRPr="00EB3D4D" w:rsidRDefault="000F732F" w:rsidP="000D6A63">
      <w:pPr>
        <w:spacing w:line="360" w:lineRule="auto"/>
        <w:ind w:right="-900"/>
      </w:pPr>
    </w:p>
    <w:p w14:paraId="0A2353D6" w14:textId="5D9127ED" w:rsidR="001C2D52" w:rsidRPr="00EB3D4D" w:rsidRDefault="00FB7E51" w:rsidP="000D6A63">
      <w:pPr>
        <w:spacing w:line="360" w:lineRule="auto"/>
        <w:ind w:right="-900"/>
      </w:pPr>
      <w:r w:rsidRPr="00EB3D4D">
        <w:rPr>
          <w:rStyle w:val="eop"/>
          <w:color w:val="000000"/>
          <w:shd w:val="clear" w:color="auto" w:fill="FFFFFF"/>
        </w:rPr>
        <w:t> </w:t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</w:p>
    <w:p w14:paraId="14068264" w14:textId="2EC6EB0E" w:rsidR="001C2D52" w:rsidRPr="00EB3D4D" w:rsidRDefault="00AF7396" w:rsidP="000D6A63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2D8F0A20" w14:textId="67B20815" w:rsidR="00AF7396" w:rsidRPr="00EB3D4D" w:rsidRDefault="000F732F" w:rsidP="000D6A63">
      <w:pPr>
        <w:ind w:right="-907"/>
      </w:pPr>
      <w:r w:rsidRPr="00EB3D4D">
        <w:t>Signature</w:t>
      </w:r>
      <w:r w:rsidRPr="00EB3D4D">
        <w:tab/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</w:r>
      <w:r w:rsidR="00AF7396" w:rsidRPr="00EB3D4D">
        <w:tab/>
        <w:t>Date</w:t>
      </w:r>
    </w:p>
    <w:p w14:paraId="0638E790" w14:textId="25ED3711" w:rsidR="00AF7396" w:rsidRPr="00EB3D4D" w:rsidRDefault="00AF7396" w:rsidP="000D6A63">
      <w:pPr>
        <w:ind w:right="-907"/>
      </w:pPr>
    </w:p>
    <w:p w14:paraId="4C8C339B" w14:textId="39A4941B" w:rsidR="00AF7396" w:rsidRPr="00EB3D4D" w:rsidRDefault="00AF7396" w:rsidP="000D6A63">
      <w:pPr>
        <w:ind w:right="-907"/>
      </w:pPr>
    </w:p>
    <w:p w14:paraId="410D2701" w14:textId="77777777" w:rsidR="00AF7396" w:rsidRPr="00EB3D4D" w:rsidRDefault="00AF7396" w:rsidP="000D6A63">
      <w:pPr>
        <w:ind w:right="-907"/>
      </w:pPr>
    </w:p>
    <w:p w14:paraId="01E6805C" w14:textId="784A6D4F" w:rsidR="00AF7396" w:rsidRPr="00EB3D4D" w:rsidRDefault="00AF7396" w:rsidP="000D6A63">
      <w:pPr>
        <w:ind w:right="-907"/>
      </w:pPr>
      <w:r w:rsidRPr="00EB3D4D">
        <w:t>Approved by:</w:t>
      </w:r>
    </w:p>
    <w:p w14:paraId="559A6FE7" w14:textId="20C3E5A9" w:rsidR="00AF7396" w:rsidRPr="00EB3D4D" w:rsidRDefault="00AF7396" w:rsidP="000D6A63">
      <w:pPr>
        <w:ind w:right="-907"/>
      </w:pPr>
    </w:p>
    <w:p w14:paraId="46523A2F" w14:textId="5B8EEA8C" w:rsidR="00AF7396" w:rsidRPr="00EB3D4D" w:rsidRDefault="00AF7396" w:rsidP="000D6A63">
      <w:pPr>
        <w:ind w:right="-907"/>
      </w:pPr>
    </w:p>
    <w:p w14:paraId="14C8F605" w14:textId="24B58B7C" w:rsidR="00AF7396" w:rsidRPr="00EB3D4D" w:rsidRDefault="001E5465" w:rsidP="000D6A63">
      <w:pPr>
        <w:ind w:right="-907"/>
      </w:pPr>
      <w:r w:rsidRPr="00EB3D4D">
        <w:t xml:space="preserve"> </w:t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</w:p>
    <w:p w14:paraId="7266390B" w14:textId="77777777" w:rsidR="006C2C10" w:rsidRPr="00EB3D4D" w:rsidRDefault="00AF7396" w:rsidP="006C2C10">
      <w:pPr>
        <w:ind w:right="-907"/>
        <w:rPr>
          <w:u w:val="single"/>
        </w:rPr>
      </w:pP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615C5993" w14:textId="56A73E8A" w:rsidR="00AF7396" w:rsidRPr="00EB3D4D" w:rsidRDefault="00DE5A68" w:rsidP="000D6A63">
      <w:pPr>
        <w:ind w:right="-907"/>
      </w:pPr>
      <w:r w:rsidRPr="00EB3D4D">
        <w:t xml:space="preserve">Ethics &amp; </w:t>
      </w:r>
      <w:r w:rsidR="006E1647" w:rsidRPr="00EB3D4D">
        <w:t>Compliance</w:t>
      </w:r>
      <w:r w:rsidR="009679E2" w:rsidRPr="00EB3D4D">
        <w:t xml:space="preserve"> Officer</w:t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  <w:t>Date</w:t>
      </w:r>
    </w:p>
    <w:sectPr w:rsidR="00AF7396" w:rsidRPr="00EB3D4D" w:rsidSect="00C85BD8">
      <w:footerReference w:type="default" r:id="rId11"/>
      <w:headerReference w:type="first" r:id="rId12"/>
      <w:footerReference w:type="first" r:id="rId13"/>
      <w:pgSz w:w="12240" w:h="15840" w:code="1"/>
      <w:pgMar w:top="1440" w:right="990" w:bottom="1170" w:left="900" w:header="720" w:footer="720" w:gutter="0"/>
      <w:cols w:space="720" w:equalWidth="0">
        <w:col w:w="90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DFA8" w14:textId="77777777" w:rsidR="00C85BD8" w:rsidRDefault="00C85BD8">
      <w:r>
        <w:separator/>
      </w:r>
    </w:p>
  </w:endnote>
  <w:endnote w:type="continuationSeparator" w:id="0">
    <w:p w14:paraId="3D76036D" w14:textId="77777777" w:rsidR="00C85BD8" w:rsidRDefault="00C8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2092" w14:textId="33AD9CA2" w:rsidR="005425BA" w:rsidRPr="00777BCE" w:rsidRDefault="005425BA" w:rsidP="003C119A">
    <w:pPr>
      <w:pStyle w:val="Footer"/>
      <w:jc w:val="center"/>
      <w:rPr>
        <w:sz w:val="20"/>
        <w:szCs w:val="20"/>
      </w:rPr>
    </w:pPr>
    <w:r w:rsidRPr="00777BCE">
      <w:rPr>
        <w:sz w:val="20"/>
        <w:szCs w:val="20"/>
      </w:rPr>
      <w:t xml:space="preserve">Page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PAGE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77BCE">
      <w:rPr>
        <w:sz w:val="20"/>
        <w:szCs w:val="20"/>
      </w:rPr>
      <w:fldChar w:fldCharType="end"/>
    </w:r>
    <w:r w:rsidRPr="00777BCE">
      <w:rPr>
        <w:sz w:val="20"/>
        <w:szCs w:val="20"/>
      </w:rPr>
      <w:t xml:space="preserve"> of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NUMPAGES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77B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5425BA" w:rsidRPr="00325B44" w:rsidRDefault="005425BA" w:rsidP="00BD7E9F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9D6B04F" w14:textId="77777777" w:rsidR="005425BA" w:rsidRDefault="005425BA" w:rsidP="00C22305">
    <w:pPr>
      <w:pStyle w:val="Footer"/>
      <w:jc w:val="center"/>
      <w:rPr>
        <w:i/>
        <w:sz w:val="16"/>
        <w:szCs w:val="16"/>
      </w:rPr>
    </w:pPr>
    <w:r w:rsidRPr="00C22305">
      <w:rPr>
        <w:i/>
        <w:sz w:val="16"/>
        <w:szCs w:val="16"/>
      </w:rPr>
      <w:t xml:space="preserve"> </w:t>
    </w:r>
  </w:p>
  <w:p w14:paraId="47341341" w14:textId="77777777" w:rsidR="005425BA" w:rsidRDefault="005425BA" w:rsidP="000A5D75">
    <w:pPr>
      <w:tabs>
        <w:tab w:val="left" w:pos="1090"/>
      </w:tabs>
    </w:pPr>
    <w:r>
      <w:tab/>
    </w:r>
  </w:p>
  <w:p w14:paraId="42EF2083" w14:textId="77777777" w:rsidR="005425BA" w:rsidRDefault="005425BA" w:rsidP="00BD7E9F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162A" w14:textId="77777777" w:rsidR="00C85BD8" w:rsidRDefault="00C85BD8">
      <w:r>
        <w:separator/>
      </w:r>
    </w:p>
  </w:footnote>
  <w:footnote w:type="continuationSeparator" w:id="0">
    <w:p w14:paraId="30A27FBD" w14:textId="77777777" w:rsidR="00C85BD8" w:rsidRDefault="00C8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232" w:type="pct"/>
      <w:tblInd w:w="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</w:tblGrid>
    <w:tr w:rsidR="005B6F37" w:rsidRPr="00E37C4B" w14:paraId="73B97261" w14:textId="4867CBDD" w:rsidTr="007B07D5">
      <w:trPr>
        <w:trHeight w:val="349"/>
      </w:trPr>
      <w:tc>
        <w:tcPr>
          <w:tcW w:w="5000" w:type="pct"/>
          <w:vAlign w:val="bottom"/>
        </w:tcPr>
        <w:p w14:paraId="2743EBCA" w14:textId="3C39E261" w:rsidR="005B6F37" w:rsidRDefault="007B07D5" w:rsidP="007B07D5">
          <w:pPr>
            <w:ind w:right="-90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SYSTEM ETHICS &amp; COMPLIANCE OFFICE</w:t>
          </w:r>
        </w:p>
      </w:tc>
    </w:tr>
    <w:tr w:rsidR="005B6F37" w14:paraId="5EBA61E7" w14:textId="715F2DFD" w:rsidTr="007B07D5">
      <w:trPr>
        <w:trHeight w:val="364"/>
      </w:trPr>
      <w:tc>
        <w:tcPr>
          <w:tcW w:w="5000" w:type="pct"/>
          <w:vAlign w:val="bottom"/>
        </w:tcPr>
        <w:p w14:paraId="2C65F6D0" w14:textId="5F3FA360" w:rsidR="005B6F37" w:rsidRPr="007B07D5" w:rsidRDefault="005B6F37" w:rsidP="007B07D5">
          <w:pPr>
            <w:ind w:right="-900"/>
            <w:rPr>
              <w:bCs/>
              <w:sz w:val="28"/>
              <w:szCs w:val="28"/>
            </w:rPr>
          </w:pPr>
          <w:r w:rsidRPr="007B07D5">
            <w:rPr>
              <w:bCs/>
              <w:sz w:val="28"/>
              <w:szCs w:val="28"/>
            </w:rPr>
            <w:t>Annual D.E.I. Compliance</w:t>
          </w:r>
        </w:p>
      </w:tc>
    </w:tr>
    <w:tr w:rsidR="005B6F37" w14:paraId="60E85DEE" w14:textId="14315C39" w:rsidTr="007B07D5">
      <w:trPr>
        <w:trHeight w:val="450"/>
      </w:trPr>
      <w:tc>
        <w:tcPr>
          <w:tcW w:w="5000" w:type="pct"/>
          <w:vAlign w:val="bottom"/>
        </w:tcPr>
        <w:p w14:paraId="2F4ABAAD" w14:textId="7734C04B" w:rsidR="005B6F37" w:rsidRPr="007B07D5" w:rsidRDefault="005B6F37" w:rsidP="007B07D5">
          <w:pPr>
            <w:pStyle w:val="Header"/>
            <w:rPr>
              <w:bCs/>
              <w:i/>
              <w:iCs/>
              <w:sz w:val="28"/>
              <w:szCs w:val="28"/>
            </w:rPr>
          </w:pPr>
          <w:r w:rsidRPr="007B07D5">
            <w:rPr>
              <w:bCs/>
              <w:i/>
              <w:iCs/>
              <w:sz w:val="28"/>
              <w:szCs w:val="28"/>
            </w:rPr>
            <w:t>Review Checklist</w:t>
          </w:r>
          <w:r w:rsidR="00E95EF8">
            <w:rPr>
              <w:bCs/>
              <w:i/>
              <w:iCs/>
              <w:sz w:val="28"/>
              <w:szCs w:val="28"/>
            </w:rPr>
            <w:t xml:space="preserve">: </w:t>
          </w:r>
          <w:r w:rsidR="009543B9">
            <w:rPr>
              <w:bCs/>
              <w:i/>
              <w:iCs/>
              <w:sz w:val="28"/>
              <w:szCs w:val="28"/>
            </w:rPr>
            <w:t>Human Resources</w:t>
          </w:r>
        </w:p>
      </w:tc>
    </w:tr>
  </w:tbl>
  <w:p w14:paraId="1AFB0058" w14:textId="77976F2F" w:rsidR="00E70647" w:rsidRPr="00730BB4" w:rsidRDefault="0042538A" w:rsidP="00730BB4">
    <w:pPr>
      <w:ind w:right="-90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47B81" wp14:editId="5BE1E0FC">
          <wp:simplePos x="0" y="0"/>
          <wp:positionH relativeFrom="column">
            <wp:posOffset>-38100</wp:posOffset>
          </wp:positionH>
          <wp:positionV relativeFrom="paragraph">
            <wp:posOffset>-956678</wp:posOffset>
          </wp:positionV>
          <wp:extent cx="1067739" cy="1055103"/>
          <wp:effectExtent l="0" t="0" r="0" b="0"/>
          <wp:wrapNone/>
          <wp:docPr id="1616422502" name="Picture 1616422502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724" cy="10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9EE"/>
    <w:multiLevelType w:val="hybridMultilevel"/>
    <w:tmpl w:val="2BE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C4"/>
    <w:multiLevelType w:val="hybridMultilevel"/>
    <w:tmpl w:val="057A92DA"/>
    <w:lvl w:ilvl="0" w:tplc="B2A2A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2AC"/>
    <w:multiLevelType w:val="hybridMultilevel"/>
    <w:tmpl w:val="FB9E6204"/>
    <w:lvl w:ilvl="0" w:tplc="040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3" w15:restartNumberingAfterBreak="0">
    <w:nsid w:val="0E0F06D2"/>
    <w:multiLevelType w:val="hybridMultilevel"/>
    <w:tmpl w:val="AC1088A8"/>
    <w:lvl w:ilvl="0" w:tplc="4A807DB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D8D"/>
    <w:multiLevelType w:val="hybridMultilevel"/>
    <w:tmpl w:val="4A1C974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C70E0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96"/>
    <w:multiLevelType w:val="hybridMultilevel"/>
    <w:tmpl w:val="4886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47477"/>
    <w:multiLevelType w:val="hybridMultilevel"/>
    <w:tmpl w:val="5AD89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566"/>
    <w:multiLevelType w:val="hybridMultilevel"/>
    <w:tmpl w:val="3E42CA12"/>
    <w:lvl w:ilvl="0" w:tplc="97AE602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D39"/>
    <w:multiLevelType w:val="hybridMultilevel"/>
    <w:tmpl w:val="B7A6F394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518"/>
    <w:multiLevelType w:val="hybridMultilevel"/>
    <w:tmpl w:val="17DC9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7FB0"/>
    <w:multiLevelType w:val="hybridMultilevel"/>
    <w:tmpl w:val="B3C8986A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91535A5"/>
    <w:multiLevelType w:val="hybridMultilevel"/>
    <w:tmpl w:val="83F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849C5"/>
    <w:multiLevelType w:val="hybridMultilevel"/>
    <w:tmpl w:val="67CA3CB0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3869"/>
    <w:multiLevelType w:val="hybridMultilevel"/>
    <w:tmpl w:val="41606054"/>
    <w:lvl w:ilvl="0" w:tplc="CAFE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50B6"/>
    <w:multiLevelType w:val="hybridMultilevel"/>
    <w:tmpl w:val="E2567AA6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74502CB"/>
    <w:multiLevelType w:val="hybridMultilevel"/>
    <w:tmpl w:val="8E2C967A"/>
    <w:lvl w:ilvl="0" w:tplc="971A3506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472"/>
    <w:multiLevelType w:val="hybridMultilevel"/>
    <w:tmpl w:val="514AE8C8"/>
    <w:lvl w:ilvl="0" w:tplc="D6A4D5A4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4AF"/>
    <w:multiLevelType w:val="hybridMultilevel"/>
    <w:tmpl w:val="FEDA9216"/>
    <w:lvl w:ilvl="0" w:tplc="01BE1C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24D17"/>
    <w:multiLevelType w:val="hybridMultilevel"/>
    <w:tmpl w:val="4BB0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8122B"/>
    <w:multiLevelType w:val="hybridMultilevel"/>
    <w:tmpl w:val="599AD54A"/>
    <w:lvl w:ilvl="0" w:tplc="AF723B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D2009"/>
    <w:multiLevelType w:val="hybridMultilevel"/>
    <w:tmpl w:val="6C381A1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67660601"/>
    <w:multiLevelType w:val="hybridMultilevel"/>
    <w:tmpl w:val="F82C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77AD9"/>
    <w:multiLevelType w:val="hybridMultilevel"/>
    <w:tmpl w:val="70528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297875">
    <w:abstractNumId w:val="17"/>
  </w:num>
  <w:num w:numId="2" w16cid:durableId="1338730836">
    <w:abstractNumId w:val="10"/>
  </w:num>
  <w:num w:numId="3" w16cid:durableId="717358794">
    <w:abstractNumId w:val="14"/>
  </w:num>
  <w:num w:numId="4" w16cid:durableId="114445281">
    <w:abstractNumId w:val="16"/>
  </w:num>
  <w:num w:numId="5" w16cid:durableId="1637644566">
    <w:abstractNumId w:val="19"/>
  </w:num>
  <w:num w:numId="6" w16cid:durableId="1390500140">
    <w:abstractNumId w:val="1"/>
  </w:num>
  <w:num w:numId="7" w16cid:durableId="870075309">
    <w:abstractNumId w:val="15"/>
  </w:num>
  <w:num w:numId="8" w16cid:durableId="2108575234">
    <w:abstractNumId w:val="20"/>
  </w:num>
  <w:num w:numId="9" w16cid:durableId="143398715">
    <w:abstractNumId w:val="7"/>
  </w:num>
  <w:num w:numId="10" w16cid:durableId="2127770990">
    <w:abstractNumId w:val="3"/>
  </w:num>
  <w:num w:numId="11" w16cid:durableId="1310285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9718">
    <w:abstractNumId w:val="18"/>
  </w:num>
  <w:num w:numId="13" w16cid:durableId="1550529747">
    <w:abstractNumId w:val="21"/>
  </w:num>
  <w:num w:numId="14" w16cid:durableId="1262644455">
    <w:abstractNumId w:val="0"/>
  </w:num>
  <w:num w:numId="15" w16cid:durableId="1451511264">
    <w:abstractNumId w:val="13"/>
  </w:num>
  <w:num w:numId="16" w16cid:durableId="610088497">
    <w:abstractNumId w:val="22"/>
  </w:num>
  <w:num w:numId="17" w16cid:durableId="728918374">
    <w:abstractNumId w:val="11"/>
  </w:num>
  <w:num w:numId="18" w16cid:durableId="943995745">
    <w:abstractNumId w:val="6"/>
  </w:num>
  <w:num w:numId="19" w16cid:durableId="889655105">
    <w:abstractNumId w:val="5"/>
  </w:num>
  <w:num w:numId="20" w16cid:durableId="660933432">
    <w:abstractNumId w:val="2"/>
  </w:num>
  <w:num w:numId="21" w16cid:durableId="331221369">
    <w:abstractNumId w:val="8"/>
  </w:num>
  <w:num w:numId="22" w16cid:durableId="107628887">
    <w:abstractNumId w:val="4"/>
  </w:num>
  <w:num w:numId="23" w16cid:durableId="125451346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75"/>
    <w:rsid w:val="00000456"/>
    <w:rsid w:val="0000605C"/>
    <w:rsid w:val="00006D20"/>
    <w:rsid w:val="00011762"/>
    <w:rsid w:val="00016255"/>
    <w:rsid w:val="00020211"/>
    <w:rsid w:val="0002203F"/>
    <w:rsid w:val="000235A8"/>
    <w:rsid w:val="00023D8E"/>
    <w:rsid w:val="00026343"/>
    <w:rsid w:val="0002634C"/>
    <w:rsid w:val="0002656F"/>
    <w:rsid w:val="00027B21"/>
    <w:rsid w:val="00030421"/>
    <w:rsid w:val="00030498"/>
    <w:rsid w:val="000319EB"/>
    <w:rsid w:val="000321D3"/>
    <w:rsid w:val="000328A7"/>
    <w:rsid w:val="00034147"/>
    <w:rsid w:val="00034A54"/>
    <w:rsid w:val="0003563E"/>
    <w:rsid w:val="0003609D"/>
    <w:rsid w:val="00040A09"/>
    <w:rsid w:val="000418E7"/>
    <w:rsid w:val="00045D6E"/>
    <w:rsid w:val="0004701E"/>
    <w:rsid w:val="00047B70"/>
    <w:rsid w:val="00047FD7"/>
    <w:rsid w:val="0005100D"/>
    <w:rsid w:val="000529B0"/>
    <w:rsid w:val="00052CD2"/>
    <w:rsid w:val="00053B84"/>
    <w:rsid w:val="00054BC6"/>
    <w:rsid w:val="00055C2B"/>
    <w:rsid w:val="00061F23"/>
    <w:rsid w:val="000634CF"/>
    <w:rsid w:val="0006532B"/>
    <w:rsid w:val="00065C6A"/>
    <w:rsid w:val="0007218A"/>
    <w:rsid w:val="000728A5"/>
    <w:rsid w:val="0007486C"/>
    <w:rsid w:val="000775A0"/>
    <w:rsid w:val="00077FDA"/>
    <w:rsid w:val="00080037"/>
    <w:rsid w:val="00082173"/>
    <w:rsid w:val="00082FB9"/>
    <w:rsid w:val="00083032"/>
    <w:rsid w:val="0008319F"/>
    <w:rsid w:val="000840CC"/>
    <w:rsid w:val="00084462"/>
    <w:rsid w:val="0008599F"/>
    <w:rsid w:val="00086C91"/>
    <w:rsid w:val="00091CC2"/>
    <w:rsid w:val="00093570"/>
    <w:rsid w:val="000944CA"/>
    <w:rsid w:val="0009681E"/>
    <w:rsid w:val="000A06F6"/>
    <w:rsid w:val="000A4427"/>
    <w:rsid w:val="000A448E"/>
    <w:rsid w:val="000A5C43"/>
    <w:rsid w:val="000A5D75"/>
    <w:rsid w:val="000B04E6"/>
    <w:rsid w:val="000B7C4B"/>
    <w:rsid w:val="000C1292"/>
    <w:rsid w:val="000C1F12"/>
    <w:rsid w:val="000C3AF4"/>
    <w:rsid w:val="000C4A3C"/>
    <w:rsid w:val="000C7D18"/>
    <w:rsid w:val="000D0D6F"/>
    <w:rsid w:val="000D2605"/>
    <w:rsid w:val="000D4B09"/>
    <w:rsid w:val="000D4B56"/>
    <w:rsid w:val="000D4DAD"/>
    <w:rsid w:val="000D5223"/>
    <w:rsid w:val="000D528F"/>
    <w:rsid w:val="000D6A63"/>
    <w:rsid w:val="000E3441"/>
    <w:rsid w:val="000E36C3"/>
    <w:rsid w:val="000E3FF8"/>
    <w:rsid w:val="000E437A"/>
    <w:rsid w:val="000E4CCA"/>
    <w:rsid w:val="000E6E89"/>
    <w:rsid w:val="000F2343"/>
    <w:rsid w:val="000F5585"/>
    <w:rsid w:val="000F5DFE"/>
    <w:rsid w:val="000F5FD8"/>
    <w:rsid w:val="000F6EF7"/>
    <w:rsid w:val="000F732F"/>
    <w:rsid w:val="000F7769"/>
    <w:rsid w:val="00100B91"/>
    <w:rsid w:val="00105F54"/>
    <w:rsid w:val="00106E8E"/>
    <w:rsid w:val="00110890"/>
    <w:rsid w:val="00110B1E"/>
    <w:rsid w:val="0011378E"/>
    <w:rsid w:val="0011545B"/>
    <w:rsid w:val="00116525"/>
    <w:rsid w:val="00121E5C"/>
    <w:rsid w:val="0012290C"/>
    <w:rsid w:val="001234E1"/>
    <w:rsid w:val="00123677"/>
    <w:rsid w:val="00125415"/>
    <w:rsid w:val="0012573A"/>
    <w:rsid w:val="00130272"/>
    <w:rsid w:val="001318A7"/>
    <w:rsid w:val="00134292"/>
    <w:rsid w:val="00134442"/>
    <w:rsid w:val="00135096"/>
    <w:rsid w:val="00135980"/>
    <w:rsid w:val="00136A7F"/>
    <w:rsid w:val="00136AB5"/>
    <w:rsid w:val="00136DC5"/>
    <w:rsid w:val="00137B0C"/>
    <w:rsid w:val="00142BFD"/>
    <w:rsid w:val="001442D7"/>
    <w:rsid w:val="00145EF0"/>
    <w:rsid w:val="001464A3"/>
    <w:rsid w:val="00146872"/>
    <w:rsid w:val="00154897"/>
    <w:rsid w:val="00155355"/>
    <w:rsid w:val="001559F4"/>
    <w:rsid w:val="001563E9"/>
    <w:rsid w:val="00164C68"/>
    <w:rsid w:val="00164D91"/>
    <w:rsid w:val="00165C40"/>
    <w:rsid w:val="0017140E"/>
    <w:rsid w:val="001731BE"/>
    <w:rsid w:val="00184A66"/>
    <w:rsid w:val="00185BF2"/>
    <w:rsid w:val="00190CB1"/>
    <w:rsid w:val="0019306B"/>
    <w:rsid w:val="00193F16"/>
    <w:rsid w:val="001A0251"/>
    <w:rsid w:val="001A2B13"/>
    <w:rsid w:val="001A34D3"/>
    <w:rsid w:val="001A55BD"/>
    <w:rsid w:val="001B0B2D"/>
    <w:rsid w:val="001B12F1"/>
    <w:rsid w:val="001B22C9"/>
    <w:rsid w:val="001B24CB"/>
    <w:rsid w:val="001B3EB8"/>
    <w:rsid w:val="001B4947"/>
    <w:rsid w:val="001B4DF7"/>
    <w:rsid w:val="001B64E5"/>
    <w:rsid w:val="001B75DD"/>
    <w:rsid w:val="001C0B0C"/>
    <w:rsid w:val="001C2321"/>
    <w:rsid w:val="001C2D52"/>
    <w:rsid w:val="001C6C00"/>
    <w:rsid w:val="001D1262"/>
    <w:rsid w:val="001D261D"/>
    <w:rsid w:val="001D4F41"/>
    <w:rsid w:val="001D538A"/>
    <w:rsid w:val="001D5E98"/>
    <w:rsid w:val="001D5EEE"/>
    <w:rsid w:val="001D6DC3"/>
    <w:rsid w:val="001D7FA8"/>
    <w:rsid w:val="001E0B6A"/>
    <w:rsid w:val="001E48F7"/>
    <w:rsid w:val="001E51B5"/>
    <w:rsid w:val="001E5465"/>
    <w:rsid w:val="001E5EFF"/>
    <w:rsid w:val="001E6C60"/>
    <w:rsid w:val="001E757C"/>
    <w:rsid w:val="001F1D97"/>
    <w:rsid w:val="001F36D0"/>
    <w:rsid w:val="001F51FC"/>
    <w:rsid w:val="001F5C05"/>
    <w:rsid w:val="001F7A03"/>
    <w:rsid w:val="00200522"/>
    <w:rsid w:val="00201C02"/>
    <w:rsid w:val="00203109"/>
    <w:rsid w:val="002031FB"/>
    <w:rsid w:val="00204471"/>
    <w:rsid w:val="00205614"/>
    <w:rsid w:val="00205ECE"/>
    <w:rsid w:val="00207842"/>
    <w:rsid w:val="00210EEA"/>
    <w:rsid w:val="002128A4"/>
    <w:rsid w:val="002134CC"/>
    <w:rsid w:val="00213A20"/>
    <w:rsid w:val="002177A6"/>
    <w:rsid w:val="002219FD"/>
    <w:rsid w:val="00223FBC"/>
    <w:rsid w:val="0022467A"/>
    <w:rsid w:val="00225344"/>
    <w:rsid w:val="00226E08"/>
    <w:rsid w:val="002326C3"/>
    <w:rsid w:val="0023547E"/>
    <w:rsid w:val="00235E78"/>
    <w:rsid w:val="00237450"/>
    <w:rsid w:val="002375AF"/>
    <w:rsid w:val="00242FFF"/>
    <w:rsid w:val="0024376D"/>
    <w:rsid w:val="002443BC"/>
    <w:rsid w:val="002458D6"/>
    <w:rsid w:val="00250CC9"/>
    <w:rsid w:val="0025139C"/>
    <w:rsid w:val="00255463"/>
    <w:rsid w:val="00261809"/>
    <w:rsid w:val="00262FFE"/>
    <w:rsid w:val="002669A7"/>
    <w:rsid w:val="00266A89"/>
    <w:rsid w:val="00270797"/>
    <w:rsid w:val="0027199D"/>
    <w:rsid w:val="002721AE"/>
    <w:rsid w:val="00273373"/>
    <w:rsid w:val="00273ED6"/>
    <w:rsid w:val="00275ADF"/>
    <w:rsid w:val="00277B9F"/>
    <w:rsid w:val="00281E53"/>
    <w:rsid w:val="00285396"/>
    <w:rsid w:val="0028750A"/>
    <w:rsid w:val="0029383C"/>
    <w:rsid w:val="00294BAA"/>
    <w:rsid w:val="0029634D"/>
    <w:rsid w:val="002977D5"/>
    <w:rsid w:val="002A0A5D"/>
    <w:rsid w:val="002A5131"/>
    <w:rsid w:val="002A6A74"/>
    <w:rsid w:val="002A7089"/>
    <w:rsid w:val="002B0520"/>
    <w:rsid w:val="002B0E9C"/>
    <w:rsid w:val="002B2BF4"/>
    <w:rsid w:val="002B2D87"/>
    <w:rsid w:val="002B74C8"/>
    <w:rsid w:val="002B779A"/>
    <w:rsid w:val="002B79CD"/>
    <w:rsid w:val="002C26D6"/>
    <w:rsid w:val="002C29D9"/>
    <w:rsid w:val="002C53D7"/>
    <w:rsid w:val="002C71A8"/>
    <w:rsid w:val="002C78D9"/>
    <w:rsid w:val="002C7E76"/>
    <w:rsid w:val="002D1628"/>
    <w:rsid w:val="002D4128"/>
    <w:rsid w:val="002D520D"/>
    <w:rsid w:val="002D6970"/>
    <w:rsid w:val="002E2DE5"/>
    <w:rsid w:val="002E4326"/>
    <w:rsid w:val="002E4689"/>
    <w:rsid w:val="002E651A"/>
    <w:rsid w:val="002F5B49"/>
    <w:rsid w:val="00300E3D"/>
    <w:rsid w:val="00301150"/>
    <w:rsid w:val="003019DD"/>
    <w:rsid w:val="003055B7"/>
    <w:rsid w:val="003071DF"/>
    <w:rsid w:val="00311CA8"/>
    <w:rsid w:val="003129BE"/>
    <w:rsid w:val="0031373C"/>
    <w:rsid w:val="003143F8"/>
    <w:rsid w:val="00314A2B"/>
    <w:rsid w:val="00314C6E"/>
    <w:rsid w:val="00316EDF"/>
    <w:rsid w:val="003172D8"/>
    <w:rsid w:val="003208E7"/>
    <w:rsid w:val="00321E0F"/>
    <w:rsid w:val="0032260C"/>
    <w:rsid w:val="003245CC"/>
    <w:rsid w:val="00325B44"/>
    <w:rsid w:val="00327F87"/>
    <w:rsid w:val="00330D0F"/>
    <w:rsid w:val="00330F66"/>
    <w:rsid w:val="003328D6"/>
    <w:rsid w:val="00332EB9"/>
    <w:rsid w:val="00335C6D"/>
    <w:rsid w:val="0034158D"/>
    <w:rsid w:val="00341BE3"/>
    <w:rsid w:val="00342659"/>
    <w:rsid w:val="003451DA"/>
    <w:rsid w:val="00345634"/>
    <w:rsid w:val="0034574E"/>
    <w:rsid w:val="00345CEE"/>
    <w:rsid w:val="00345F18"/>
    <w:rsid w:val="0034702C"/>
    <w:rsid w:val="00347C8F"/>
    <w:rsid w:val="00347CB2"/>
    <w:rsid w:val="003506E8"/>
    <w:rsid w:val="00352F30"/>
    <w:rsid w:val="003535CC"/>
    <w:rsid w:val="0035378A"/>
    <w:rsid w:val="0035441B"/>
    <w:rsid w:val="00354D8E"/>
    <w:rsid w:val="00360D7C"/>
    <w:rsid w:val="003635D3"/>
    <w:rsid w:val="00365779"/>
    <w:rsid w:val="00365A6B"/>
    <w:rsid w:val="00367B4D"/>
    <w:rsid w:val="00371611"/>
    <w:rsid w:val="003717E7"/>
    <w:rsid w:val="00372529"/>
    <w:rsid w:val="003728A0"/>
    <w:rsid w:val="0038048B"/>
    <w:rsid w:val="00381C02"/>
    <w:rsid w:val="003822DF"/>
    <w:rsid w:val="00382B8E"/>
    <w:rsid w:val="003842E5"/>
    <w:rsid w:val="00384883"/>
    <w:rsid w:val="0038689A"/>
    <w:rsid w:val="00386F31"/>
    <w:rsid w:val="003878F1"/>
    <w:rsid w:val="0039225F"/>
    <w:rsid w:val="00393567"/>
    <w:rsid w:val="003A5B89"/>
    <w:rsid w:val="003A5BE7"/>
    <w:rsid w:val="003A686A"/>
    <w:rsid w:val="003B3A65"/>
    <w:rsid w:val="003B59CA"/>
    <w:rsid w:val="003B5A61"/>
    <w:rsid w:val="003B63DF"/>
    <w:rsid w:val="003B6A20"/>
    <w:rsid w:val="003C07E2"/>
    <w:rsid w:val="003C092A"/>
    <w:rsid w:val="003C119A"/>
    <w:rsid w:val="003C1637"/>
    <w:rsid w:val="003C2BE5"/>
    <w:rsid w:val="003C31D1"/>
    <w:rsid w:val="003C4874"/>
    <w:rsid w:val="003C68F9"/>
    <w:rsid w:val="003D1C10"/>
    <w:rsid w:val="003D1D4B"/>
    <w:rsid w:val="003D225F"/>
    <w:rsid w:val="003D239E"/>
    <w:rsid w:val="003D3846"/>
    <w:rsid w:val="003D4276"/>
    <w:rsid w:val="003D6585"/>
    <w:rsid w:val="003D7EF0"/>
    <w:rsid w:val="003E1F96"/>
    <w:rsid w:val="003E2482"/>
    <w:rsid w:val="003E3E93"/>
    <w:rsid w:val="003F053B"/>
    <w:rsid w:val="003F0796"/>
    <w:rsid w:val="003F0847"/>
    <w:rsid w:val="003F089D"/>
    <w:rsid w:val="003F0A0A"/>
    <w:rsid w:val="003F0C3A"/>
    <w:rsid w:val="003F1C11"/>
    <w:rsid w:val="00402CAC"/>
    <w:rsid w:val="00403392"/>
    <w:rsid w:val="00403DDD"/>
    <w:rsid w:val="00404CC3"/>
    <w:rsid w:val="00407B27"/>
    <w:rsid w:val="004107B0"/>
    <w:rsid w:val="00412391"/>
    <w:rsid w:val="00413305"/>
    <w:rsid w:val="0041470E"/>
    <w:rsid w:val="004148F9"/>
    <w:rsid w:val="00416EB2"/>
    <w:rsid w:val="0042186B"/>
    <w:rsid w:val="00422FF9"/>
    <w:rsid w:val="00423F7C"/>
    <w:rsid w:val="0042538A"/>
    <w:rsid w:val="00425C25"/>
    <w:rsid w:val="00425D0B"/>
    <w:rsid w:val="0043221D"/>
    <w:rsid w:val="00432D06"/>
    <w:rsid w:val="00432F1D"/>
    <w:rsid w:val="00433BAF"/>
    <w:rsid w:val="0043409F"/>
    <w:rsid w:val="004349D2"/>
    <w:rsid w:val="004362EA"/>
    <w:rsid w:val="004368DD"/>
    <w:rsid w:val="00441105"/>
    <w:rsid w:val="004414A8"/>
    <w:rsid w:val="00442CFF"/>
    <w:rsid w:val="0044302F"/>
    <w:rsid w:val="00443BBE"/>
    <w:rsid w:val="00445F5E"/>
    <w:rsid w:val="00447191"/>
    <w:rsid w:val="004472FC"/>
    <w:rsid w:val="00450B16"/>
    <w:rsid w:val="00450C01"/>
    <w:rsid w:val="00452379"/>
    <w:rsid w:val="00452440"/>
    <w:rsid w:val="00452A0B"/>
    <w:rsid w:val="00452D6D"/>
    <w:rsid w:val="00454271"/>
    <w:rsid w:val="0046119F"/>
    <w:rsid w:val="00461F35"/>
    <w:rsid w:val="00462DC2"/>
    <w:rsid w:val="00463BCB"/>
    <w:rsid w:val="00463CAA"/>
    <w:rsid w:val="00464F3A"/>
    <w:rsid w:val="004657A8"/>
    <w:rsid w:val="00465B2F"/>
    <w:rsid w:val="0046630A"/>
    <w:rsid w:val="0046758B"/>
    <w:rsid w:val="00470115"/>
    <w:rsid w:val="00471749"/>
    <w:rsid w:val="0047259F"/>
    <w:rsid w:val="0047266C"/>
    <w:rsid w:val="0047340E"/>
    <w:rsid w:val="004741CC"/>
    <w:rsid w:val="00474953"/>
    <w:rsid w:val="00480C12"/>
    <w:rsid w:val="00480DBA"/>
    <w:rsid w:val="00481B63"/>
    <w:rsid w:val="004841AE"/>
    <w:rsid w:val="0049108E"/>
    <w:rsid w:val="00493325"/>
    <w:rsid w:val="00495461"/>
    <w:rsid w:val="00495C68"/>
    <w:rsid w:val="00495DD2"/>
    <w:rsid w:val="004A3435"/>
    <w:rsid w:val="004A3FCA"/>
    <w:rsid w:val="004A3FCF"/>
    <w:rsid w:val="004A5AE9"/>
    <w:rsid w:val="004A5CC7"/>
    <w:rsid w:val="004A712E"/>
    <w:rsid w:val="004A7F04"/>
    <w:rsid w:val="004B2443"/>
    <w:rsid w:val="004B46DC"/>
    <w:rsid w:val="004B4902"/>
    <w:rsid w:val="004B6BDB"/>
    <w:rsid w:val="004C030E"/>
    <w:rsid w:val="004C6726"/>
    <w:rsid w:val="004D126C"/>
    <w:rsid w:val="004D1433"/>
    <w:rsid w:val="004D16BA"/>
    <w:rsid w:val="004D5029"/>
    <w:rsid w:val="004D5230"/>
    <w:rsid w:val="004D6AAF"/>
    <w:rsid w:val="004D7DD3"/>
    <w:rsid w:val="004E11CC"/>
    <w:rsid w:val="004E2647"/>
    <w:rsid w:val="004E2B6E"/>
    <w:rsid w:val="004E3802"/>
    <w:rsid w:val="004E49AC"/>
    <w:rsid w:val="004E574C"/>
    <w:rsid w:val="004E6A9D"/>
    <w:rsid w:val="004F0505"/>
    <w:rsid w:val="004F40EF"/>
    <w:rsid w:val="004F460C"/>
    <w:rsid w:val="00501DAD"/>
    <w:rsid w:val="00502C40"/>
    <w:rsid w:val="0050345B"/>
    <w:rsid w:val="00514FB7"/>
    <w:rsid w:val="00522215"/>
    <w:rsid w:val="00523BDA"/>
    <w:rsid w:val="005241F6"/>
    <w:rsid w:val="00536335"/>
    <w:rsid w:val="0054075F"/>
    <w:rsid w:val="005425BA"/>
    <w:rsid w:val="00542973"/>
    <w:rsid w:val="00544A93"/>
    <w:rsid w:val="00546820"/>
    <w:rsid w:val="00547957"/>
    <w:rsid w:val="00547D92"/>
    <w:rsid w:val="005500F1"/>
    <w:rsid w:val="00552D88"/>
    <w:rsid w:val="005536AB"/>
    <w:rsid w:val="005623B0"/>
    <w:rsid w:val="00564493"/>
    <w:rsid w:val="00565B40"/>
    <w:rsid w:val="00572116"/>
    <w:rsid w:val="00572C5C"/>
    <w:rsid w:val="005745BB"/>
    <w:rsid w:val="00577D54"/>
    <w:rsid w:val="005824F3"/>
    <w:rsid w:val="00583E3E"/>
    <w:rsid w:val="00590F3C"/>
    <w:rsid w:val="00591ABC"/>
    <w:rsid w:val="00592D39"/>
    <w:rsid w:val="00594825"/>
    <w:rsid w:val="005960F2"/>
    <w:rsid w:val="005963DF"/>
    <w:rsid w:val="0059716F"/>
    <w:rsid w:val="005A0F52"/>
    <w:rsid w:val="005A2302"/>
    <w:rsid w:val="005A2CC7"/>
    <w:rsid w:val="005A42AC"/>
    <w:rsid w:val="005A4395"/>
    <w:rsid w:val="005A72F2"/>
    <w:rsid w:val="005B20F9"/>
    <w:rsid w:val="005B4180"/>
    <w:rsid w:val="005B6F37"/>
    <w:rsid w:val="005B72E6"/>
    <w:rsid w:val="005C0681"/>
    <w:rsid w:val="005C1294"/>
    <w:rsid w:val="005C7887"/>
    <w:rsid w:val="005D0BCC"/>
    <w:rsid w:val="005D1D78"/>
    <w:rsid w:val="005D4E52"/>
    <w:rsid w:val="005E15A4"/>
    <w:rsid w:val="005E294E"/>
    <w:rsid w:val="005E316F"/>
    <w:rsid w:val="005E3C25"/>
    <w:rsid w:val="005E4BCF"/>
    <w:rsid w:val="005E56ED"/>
    <w:rsid w:val="005E6B90"/>
    <w:rsid w:val="005E6EC4"/>
    <w:rsid w:val="005F1540"/>
    <w:rsid w:val="005F1740"/>
    <w:rsid w:val="005F3262"/>
    <w:rsid w:val="005F6B8B"/>
    <w:rsid w:val="00600907"/>
    <w:rsid w:val="00601193"/>
    <w:rsid w:val="00601555"/>
    <w:rsid w:val="00601DC6"/>
    <w:rsid w:val="006104CE"/>
    <w:rsid w:val="00612CEA"/>
    <w:rsid w:val="00613523"/>
    <w:rsid w:val="006136BD"/>
    <w:rsid w:val="00615513"/>
    <w:rsid w:val="00615DE9"/>
    <w:rsid w:val="00616111"/>
    <w:rsid w:val="00617C8B"/>
    <w:rsid w:val="00622F70"/>
    <w:rsid w:val="00623056"/>
    <w:rsid w:val="00623A25"/>
    <w:rsid w:val="00623E52"/>
    <w:rsid w:val="006244E4"/>
    <w:rsid w:val="00625C3F"/>
    <w:rsid w:val="00626228"/>
    <w:rsid w:val="0062786B"/>
    <w:rsid w:val="00631501"/>
    <w:rsid w:val="006318FD"/>
    <w:rsid w:val="00633B77"/>
    <w:rsid w:val="00635ACF"/>
    <w:rsid w:val="00636BEB"/>
    <w:rsid w:val="00636D79"/>
    <w:rsid w:val="00643479"/>
    <w:rsid w:val="006478C7"/>
    <w:rsid w:val="00650290"/>
    <w:rsid w:val="006513FF"/>
    <w:rsid w:val="00652F66"/>
    <w:rsid w:val="00652FCB"/>
    <w:rsid w:val="00657A72"/>
    <w:rsid w:val="00662E0B"/>
    <w:rsid w:val="00663BE2"/>
    <w:rsid w:val="00663F63"/>
    <w:rsid w:val="00664831"/>
    <w:rsid w:val="00674ADE"/>
    <w:rsid w:val="006764CC"/>
    <w:rsid w:val="00676EE2"/>
    <w:rsid w:val="006777C1"/>
    <w:rsid w:val="006803DD"/>
    <w:rsid w:val="00680780"/>
    <w:rsid w:val="00683E22"/>
    <w:rsid w:val="006857C2"/>
    <w:rsid w:val="00691C0E"/>
    <w:rsid w:val="006923C6"/>
    <w:rsid w:val="00692A15"/>
    <w:rsid w:val="00693142"/>
    <w:rsid w:val="00693C9A"/>
    <w:rsid w:val="006945CC"/>
    <w:rsid w:val="00694978"/>
    <w:rsid w:val="00694A8E"/>
    <w:rsid w:val="006A0419"/>
    <w:rsid w:val="006A18CA"/>
    <w:rsid w:val="006A4997"/>
    <w:rsid w:val="006A4A78"/>
    <w:rsid w:val="006A4D86"/>
    <w:rsid w:val="006A5094"/>
    <w:rsid w:val="006A5133"/>
    <w:rsid w:val="006A65B3"/>
    <w:rsid w:val="006B1D73"/>
    <w:rsid w:val="006B2492"/>
    <w:rsid w:val="006B2BC9"/>
    <w:rsid w:val="006B31B5"/>
    <w:rsid w:val="006B65BD"/>
    <w:rsid w:val="006B6DAF"/>
    <w:rsid w:val="006C0121"/>
    <w:rsid w:val="006C2C10"/>
    <w:rsid w:val="006D03B6"/>
    <w:rsid w:val="006D1864"/>
    <w:rsid w:val="006D1C56"/>
    <w:rsid w:val="006D231B"/>
    <w:rsid w:val="006D4234"/>
    <w:rsid w:val="006D5E37"/>
    <w:rsid w:val="006D620D"/>
    <w:rsid w:val="006E1647"/>
    <w:rsid w:val="006E2190"/>
    <w:rsid w:val="006E3C6F"/>
    <w:rsid w:val="006E583B"/>
    <w:rsid w:val="006F08A0"/>
    <w:rsid w:val="006F15EA"/>
    <w:rsid w:val="006F3CC9"/>
    <w:rsid w:val="006F406C"/>
    <w:rsid w:val="00702562"/>
    <w:rsid w:val="007026D6"/>
    <w:rsid w:val="00703DB6"/>
    <w:rsid w:val="00704C3B"/>
    <w:rsid w:val="00705F8D"/>
    <w:rsid w:val="0070621A"/>
    <w:rsid w:val="00706328"/>
    <w:rsid w:val="00707139"/>
    <w:rsid w:val="00707737"/>
    <w:rsid w:val="00707FF9"/>
    <w:rsid w:val="00711FE4"/>
    <w:rsid w:val="007160DD"/>
    <w:rsid w:val="007208FD"/>
    <w:rsid w:val="00721EFE"/>
    <w:rsid w:val="00722107"/>
    <w:rsid w:val="00723462"/>
    <w:rsid w:val="007238B0"/>
    <w:rsid w:val="00725992"/>
    <w:rsid w:val="00726AF6"/>
    <w:rsid w:val="00726D8B"/>
    <w:rsid w:val="00726F74"/>
    <w:rsid w:val="00730BB4"/>
    <w:rsid w:val="0073687C"/>
    <w:rsid w:val="007372A0"/>
    <w:rsid w:val="00740057"/>
    <w:rsid w:val="007405EC"/>
    <w:rsid w:val="00741C7B"/>
    <w:rsid w:val="00744410"/>
    <w:rsid w:val="007501AC"/>
    <w:rsid w:val="00750F4E"/>
    <w:rsid w:val="007513EE"/>
    <w:rsid w:val="00753F1B"/>
    <w:rsid w:val="0075508A"/>
    <w:rsid w:val="007560D4"/>
    <w:rsid w:val="00757546"/>
    <w:rsid w:val="0076088C"/>
    <w:rsid w:val="007616CA"/>
    <w:rsid w:val="00764F4F"/>
    <w:rsid w:val="007657AF"/>
    <w:rsid w:val="00765CEC"/>
    <w:rsid w:val="00767AA9"/>
    <w:rsid w:val="00767C66"/>
    <w:rsid w:val="00770851"/>
    <w:rsid w:val="007722BB"/>
    <w:rsid w:val="00773D7F"/>
    <w:rsid w:val="0077504A"/>
    <w:rsid w:val="007768D7"/>
    <w:rsid w:val="00776C37"/>
    <w:rsid w:val="00776C7C"/>
    <w:rsid w:val="00777BCE"/>
    <w:rsid w:val="00780B81"/>
    <w:rsid w:val="007818BB"/>
    <w:rsid w:val="00784E06"/>
    <w:rsid w:val="007905EF"/>
    <w:rsid w:val="00792A52"/>
    <w:rsid w:val="007931D0"/>
    <w:rsid w:val="007966C7"/>
    <w:rsid w:val="0079783A"/>
    <w:rsid w:val="00797E79"/>
    <w:rsid w:val="007A0C8D"/>
    <w:rsid w:val="007A3381"/>
    <w:rsid w:val="007A44AA"/>
    <w:rsid w:val="007A5731"/>
    <w:rsid w:val="007A5EC2"/>
    <w:rsid w:val="007B07D5"/>
    <w:rsid w:val="007B3CEC"/>
    <w:rsid w:val="007B77BC"/>
    <w:rsid w:val="007C0932"/>
    <w:rsid w:val="007C0F51"/>
    <w:rsid w:val="007C2353"/>
    <w:rsid w:val="007C3DCD"/>
    <w:rsid w:val="007C5E93"/>
    <w:rsid w:val="007C6E44"/>
    <w:rsid w:val="007D141C"/>
    <w:rsid w:val="007D2C02"/>
    <w:rsid w:val="007D32B3"/>
    <w:rsid w:val="007D4AAF"/>
    <w:rsid w:val="007D6126"/>
    <w:rsid w:val="007D6C26"/>
    <w:rsid w:val="007D78BB"/>
    <w:rsid w:val="007D7CAB"/>
    <w:rsid w:val="007E127D"/>
    <w:rsid w:val="007E3933"/>
    <w:rsid w:val="007E397B"/>
    <w:rsid w:val="007E4F52"/>
    <w:rsid w:val="007E5E06"/>
    <w:rsid w:val="007F00B1"/>
    <w:rsid w:val="007F0F5E"/>
    <w:rsid w:val="007F1CBF"/>
    <w:rsid w:val="007F1FBE"/>
    <w:rsid w:val="007F24DC"/>
    <w:rsid w:val="007F2966"/>
    <w:rsid w:val="007F3E29"/>
    <w:rsid w:val="007F4659"/>
    <w:rsid w:val="007F636F"/>
    <w:rsid w:val="007F6830"/>
    <w:rsid w:val="008000C9"/>
    <w:rsid w:val="008001EB"/>
    <w:rsid w:val="008006A8"/>
    <w:rsid w:val="00800B15"/>
    <w:rsid w:val="00800BE4"/>
    <w:rsid w:val="00804914"/>
    <w:rsid w:val="00810A6B"/>
    <w:rsid w:val="00813067"/>
    <w:rsid w:val="00814F9E"/>
    <w:rsid w:val="00815739"/>
    <w:rsid w:val="00815D8F"/>
    <w:rsid w:val="00820D28"/>
    <w:rsid w:val="00820EC2"/>
    <w:rsid w:val="00826D84"/>
    <w:rsid w:val="00827E38"/>
    <w:rsid w:val="00836EE5"/>
    <w:rsid w:val="0084001D"/>
    <w:rsid w:val="00843469"/>
    <w:rsid w:val="008450CD"/>
    <w:rsid w:val="0085312E"/>
    <w:rsid w:val="00854676"/>
    <w:rsid w:val="00862060"/>
    <w:rsid w:val="00864020"/>
    <w:rsid w:val="008658EA"/>
    <w:rsid w:val="008724EC"/>
    <w:rsid w:val="008738C0"/>
    <w:rsid w:val="00873E22"/>
    <w:rsid w:val="0087427E"/>
    <w:rsid w:val="00876CA0"/>
    <w:rsid w:val="0088134A"/>
    <w:rsid w:val="00884B96"/>
    <w:rsid w:val="00892348"/>
    <w:rsid w:val="0089249D"/>
    <w:rsid w:val="008A0CD1"/>
    <w:rsid w:val="008A1794"/>
    <w:rsid w:val="008A18CE"/>
    <w:rsid w:val="008A2085"/>
    <w:rsid w:val="008A4A2E"/>
    <w:rsid w:val="008A5983"/>
    <w:rsid w:val="008B0858"/>
    <w:rsid w:val="008B0AC5"/>
    <w:rsid w:val="008B181B"/>
    <w:rsid w:val="008B1B5A"/>
    <w:rsid w:val="008B23B3"/>
    <w:rsid w:val="008B25A0"/>
    <w:rsid w:val="008B4998"/>
    <w:rsid w:val="008B5D7F"/>
    <w:rsid w:val="008C55F1"/>
    <w:rsid w:val="008C5C75"/>
    <w:rsid w:val="008C61E5"/>
    <w:rsid w:val="008C760B"/>
    <w:rsid w:val="008D0E3B"/>
    <w:rsid w:val="008D1A0E"/>
    <w:rsid w:val="008D3D57"/>
    <w:rsid w:val="008D688A"/>
    <w:rsid w:val="008D7947"/>
    <w:rsid w:val="008E1047"/>
    <w:rsid w:val="008E1296"/>
    <w:rsid w:val="008E1F91"/>
    <w:rsid w:val="008E31B1"/>
    <w:rsid w:val="008F08F6"/>
    <w:rsid w:val="008F0F59"/>
    <w:rsid w:val="008F2205"/>
    <w:rsid w:val="008F4DFB"/>
    <w:rsid w:val="008F772F"/>
    <w:rsid w:val="00901DB5"/>
    <w:rsid w:val="0090250E"/>
    <w:rsid w:val="00902649"/>
    <w:rsid w:val="00902755"/>
    <w:rsid w:val="00903FEA"/>
    <w:rsid w:val="00904C21"/>
    <w:rsid w:val="009127CF"/>
    <w:rsid w:val="00914DB5"/>
    <w:rsid w:val="0091549E"/>
    <w:rsid w:val="009154D9"/>
    <w:rsid w:val="00916462"/>
    <w:rsid w:val="00921815"/>
    <w:rsid w:val="009255D8"/>
    <w:rsid w:val="00925922"/>
    <w:rsid w:val="00925CAF"/>
    <w:rsid w:val="009320D4"/>
    <w:rsid w:val="009333DB"/>
    <w:rsid w:val="0093350B"/>
    <w:rsid w:val="0093430E"/>
    <w:rsid w:val="00936014"/>
    <w:rsid w:val="00941A12"/>
    <w:rsid w:val="009426B3"/>
    <w:rsid w:val="009436DD"/>
    <w:rsid w:val="00943959"/>
    <w:rsid w:val="00951055"/>
    <w:rsid w:val="009514F5"/>
    <w:rsid w:val="009530B8"/>
    <w:rsid w:val="009543B9"/>
    <w:rsid w:val="009546FA"/>
    <w:rsid w:val="00954FDC"/>
    <w:rsid w:val="00955DEC"/>
    <w:rsid w:val="00957E8C"/>
    <w:rsid w:val="009602F8"/>
    <w:rsid w:val="009620FB"/>
    <w:rsid w:val="00964755"/>
    <w:rsid w:val="00967875"/>
    <w:rsid w:val="009679E2"/>
    <w:rsid w:val="00967E05"/>
    <w:rsid w:val="00970460"/>
    <w:rsid w:val="0097214D"/>
    <w:rsid w:val="00972247"/>
    <w:rsid w:val="00972884"/>
    <w:rsid w:val="0097415A"/>
    <w:rsid w:val="00976CBF"/>
    <w:rsid w:val="0097723B"/>
    <w:rsid w:val="00977761"/>
    <w:rsid w:val="00980A95"/>
    <w:rsid w:val="00980E2C"/>
    <w:rsid w:val="00980E77"/>
    <w:rsid w:val="0098123B"/>
    <w:rsid w:val="009815E1"/>
    <w:rsid w:val="00982B69"/>
    <w:rsid w:val="00986919"/>
    <w:rsid w:val="00987FDA"/>
    <w:rsid w:val="00992046"/>
    <w:rsid w:val="00993F63"/>
    <w:rsid w:val="00994014"/>
    <w:rsid w:val="0099608F"/>
    <w:rsid w:val="0099646E"/>
    <w:rsid w:val="009A040A"/>
    <w:rsid w:val="009A1376"/>
    <w:rsid w:val="009A1389"/>
    <w:rsid w:val="009A3DE3"/>
    <w:rsid w:val="009A407E"/>
    <w:rsid w:val="009A440F"/>
    <w:rsid w:val="009A5586"/>
    <w:rsid w:val="009A5588"/>
    <w:rsid w:val="009A6FE1"/>
    <w:rsid w:val="009A71F0"/>
    <w:rsid w:val="009B3F0B"/>
    <w:rsid w:val="009B42F2"/>
    <w:rsid w:val="009B65E8"/>
    <w:rsid w:val="009B67B7"/>
    <w:rsid w:val="009C1EBD"/>
    <w:rsid w:val="009C44DD"/>
    <w:rsid w:val="009C5287"/>
    <w:rsid w:val="009C60CA"/>
    <w:rsid w:val="009C637E"/>
    <w:rsid w:val="009D0E3A"/>
    <w:rsid w:val="009D1531"/>
    <w:rsid w:val="009D295C"/>
    <w:rsid w:val="009D469F"/>
    <w:rsid w:val="009D4BF2"/>
    <w:rsid w:val="009D4D55"/>
    <w:rsid w:val="009D5301"/>
    <w:rsid w:val="009D6AF3"/>
    <w:rsid w:val="009D7961"/>
    <w:rsid w:val="009E0FB6"/>
    <w:rsid w:val="009E7102"/>
    <w:rsid w:val="009F1B28"/>
    <w:rsid w:val="009F3950"/>
    <w:rsid w:val="009F471A"/>
    <w:rsid w:val="009F503E"/>
    <w:rsid w:val="009F5BE6"/>
    <w:rsid w:val="00A01B5E"/>
    <w:rsid w:val="00A03CFA"/>
    <w:rsid w:val="00A05D08"/>
    <w:rsid w:val="00A10E81"/>
    <w:rsid w:val="00A116C5"/>
    <w:rsid w:val="00A12082"/>
    <w:rsid w:val="00A17F6E"/>
    <w:rsid w:val="00A25156"/>
    <w:rsid w:val="00A26A2C"/>
    <w:rsid w:val="00A3247D"/>
    <w:rsid w:val="00A34B13"/>
    <w:rsid w:val="00A3650E"/>
    <w:rsid w:val="00A374D9"/>
    <w:rsid w:val="00A403BB"/>
    <w:rsid w:val="00A42166"/>
    <w:rsid w:val="00A42E57"/>
    <w:rsid w:val="00A4365D"/>
    <w:rsid w:val="00A44107"/>
    <w:rsid w:val="00A4502D"/>
    <w:rsid w:val="00A478E7"/>
    <w:rsid w:val="00A47FA1"/>
    <w:rsid w:val="00A50165"/>
    <w:rsid w:val="00A52CAE"/>
    <w:rsid w:val="00A5383F"/>
    <w:rsid w:val="00A53CF9"/>
    <w:rsid w:val="00A551F8"/>
    <w:rsid w:val="00A55660"/>
    <w:rsid w:val="00A56AE3"/>
    <w:rsid w:val="00A611E5"/>
    <w:rsid w:val="00A65A44"/>
    <w:rsid w:val="00A66FE2"/>
    <w:rsid w:val="00A674A2"/>
    <w:rsid w:val="00A67831"/>
    <w:rsid w:val="00A715DF"/>
    <w:rsid w:val="00A73A2E"/>
    <w:rsid w:val="00A7616F"/>
    <w:rsid w:val="00A91A3A"/>
    <w:rsid w:val="00A93425"/>
    <w:rsid w:val="00A934FB"/>
    <w:rsid w:val="00A93C58"/>
    <w:rsid w:val="00A93CDF"/>
    <w:rsid w:val="00A96158"/>
    <w:rsid w:val="00A96473"/>
    <w:rsid w:val="00A975E6"/>
    <w:rsid w:val="00A97881"/>
    <w:rsid w:val="00AA0770"/>
    <w:rsid w:val="00AA280D"/>
    <w:rsid w:val="00AA30E7"/>
    <w:rsid w:val="00AA3C3E"/>
    <w:rsid w:val="00AA47FE"/>
    <w:rsid w:val="00AA642F"/>
    <w:rsid w:val="00AA799A"/>
    <w:rsid w:val="00AB07D5"/>
    <w:rsid w:val="00AB0E3E"/>
    <w:rsid w:val="00AB119F"/>
    <w:rsid w:val="00AB4007"/>
    <w:rsid w:val="00AB4055"/>
    <w:rsid w:val="00AB4201"/>
    <w:rsid w:val="00AB64E3"/>
    <w:rsid w:val="00AB7B93"/>
    <w:rsid w:val="00AC2FB6"/>
    <w:rsid w:val="00AC46BE"/>
    <w:rsid w:val="00AC4E52"/>
    <w:rsid w:val="00AC7A00"/>
    <w:rsid w:val="00AD15CD"/>
    <w:rsid w:val="00AD2FD5"/>
    <w:rsid w:val="00AD4592"/>
    <w:rsid w:val="00AD691D"/>
    <w:rsid w:val="00AD76AC"/>
    <w:rsid w:val="00AE29AD"/>
    <w:rsid w:val="00AE43A2"/>
    <w:rsid w:val="00AE4584"/>
    <w:rsid w:val="00AE4885"/>
    <w:rsid w:val="00AE4BB0"/>
    <w:rsid w:val="00AE786A"/>
    <w:rsid w:val="00AE7E9F"/>
    <w:rsid w:val="00AF3488"/>
    <w:rsid w:val="00AF36EE"/>
    <w:rsid w:val="00AF42DD"/>
    <w:rsid w:val="00AF7396"/>
    <w:rsid w:val="00B015F4"/>
    <w:rsid w:val="00B02A1D"/>
    <w:rsid w:val="00B050CC"/>
    <w:rsid w:val="00B052B5"/>
    <w:rsid w:val="00B05742"/>
    <w:rsid w:val="00B05CB9"/>
    <w:rsid w:val="00B108F1"/>
    <w:rsid w:val="00B12F63"/>
    <w:rsid w:val="00B14EA2"/>
    <w:rsid w:val="00B15908"/>
    <w:rsid w:val="00B15C8F"/>
    <w:rsid w:val="00B17888"/>
    <w:rsid w:val="00B23246"/>
    <w:rsid w:val="00B25319"/>
    <w:rsid w:val="00B25DE2"/>
    <w:rsid w:val="00B30C13"/>
    <w:rsid w:val="00B316AC"/>
    <w:rsid w:val="00B31CB6"/>
    <w:rsid w:val="00B31E05"/>
    <w:rsid w:val="00B34108"/>
    <w:rsid w:val="00B34639"/>
    <w:rsid w:val="00B35051"/>
    <w:rsid w:val="00B36F81"/>
    <w:rsid w:val="00B4737A"/>
    <w:rsid w:val="00B50A77"/>
    <w:rsid w:val="00B5213B"/>
    <w:rsid w:val="00B5258B"/>
    <w:rsid w:val="00B52CB2"/>
    <w:rsid w:val="00B546A1"/>
    <w:rsid w:val="00B54C5A"/>
    <w:rsid w:val="00B60063"/>
    <w:rsid w:val="00B62DCB"/>
    <w:rsid w:val="00B63FBE"/>
    <w:rsid w:val="00B6512E"/>
    <w:rsid w:val="00B673A0"/>
    <w:rsid w:val="00B7145C"/>
    <w:rsid w:val="00B74DED"/>
    <w:rsid w:val="00B7592E"/>
    <w:rsid w:val="00B774F6"/>
    <w:rsid w:val="00B81E7E"/>
    <w:rsid w:val="00B831A5"/>
    <w:rsid w:val="00B87014"/>
    <w:rsid w:val="00B87673"/>
    <w:rsid w:val="00B9228F"/>
    <w:rsid w:val="00B93923"/>
    <w:rsid w:val="00B93C93"/>
    <w:rsid w:val="00BA739F"/>
    <w:rsid w:val="00BA7B5B"/>
    <w:rsid w:val="00BB00C7"/>
    <w:rsid w:val="00BB2A0B"/>
    <w:rsid w:val="00BB391C"/>
    <w:rsid w:val="00BB70E5"/>
    <w:rsid w:val="00BC0176"/>
    <w:rsid w:val="00BC0818"/>
    <w:rsid w:val="00BC0AC2"/>
    <w:rsid w:val="00BC214E"/>
    <w:rsid w:val="00BC2252"/>
    <w:rsid w:val="00BC4FC9"/>
    <w:rsid w:val="00BC5B05"/>
    <w:rsid w:val="00BC79B4"/>
    <w:rsid w:val="00BD1552"/>
    <w:rsid w:val="00BD3D97"/>
    <w:rsid w:val="00BD4F9A"/>
    <w:rsid w:val="00BD5121"/>
    <w:rsid w:val="00BD57C8"/>
    <w:rsid w:val="00BD5FEE"/>
    <w:rsid w:val="00BD7E9F"/>
    <w:rsid w:val="00BE1914"/>
    <w:rsid w:val="00BE2CA9"/>
    <w:rsid w:val="00BE4979"/>
    <w:rsid w:val="00BE4DA6"/>
    <w:rsid w:val="00BE50D2"/>
    <w:rsid w:val="00BE7842"/>
    <w:rsid w:val="00BE7E88"/>
    <w:rsid w:val="00BF1B81"/>
    <w:rsid w:val="00BF2226"/>
    <w:rsid w:val="00BF3053"/>
    <w:rsid w:val="00BF4BDA"/>
    <w:rsid w:val="00BF748A"/>
    <w:rsid w:val="00C00308"/>
    <w:rsid w:val="00C01115"/>
    <w:rsid w:val="00C03997"/>
    <w:rsid w:val="00C03F9B"/>
    <w:rsid w:val="00C0559D"/>
    <w:rsid w:val="00C0682F"/>
    <w:rsid w:val="00C13892"/>
    <w:rsid w:val="00C13DA1"/>
    <w:rsid w:val="00C158DB"/>
    <w:rsid w:val="00C22305"/>
    <w:rsid w:val="00C22B4D"/>
    <w:rsid w:val="00C23E00"/>
    <w:rsid w:val="00C24D95"/>
    <w:rsid w:val="00C26868"/>
    <w:rsid w:val="00C2763D"/>
    <w:rsid w:val="00C27705"/>
    <w:rsid w:val="00C27FEB"/>
    <w:rsid w:val="00C30803"/>
    <w:rsid w:val="00C360FD"/>
    <w:rsid w:val="00C37345"/>
    <w:rsid w:val="00C43F27"/>
    <w:rsid w:val="00C44522"/>
    <w:rsid w:val="00C45A9C"/>
    <w:rsid w:val="00C46C6B"/>
    <w:rsid w:val="00C46CE5"/>
    <w:rsid w:val="00C473D1"/>
    <w:rsid w:val="00C512A7"/>
    <w:rsid w:val="00C51DB0"/>
    <w:rsid w:val="00C5249B"/>
    <w:rsid w:val="00C5374A"/>
    <w:rsid w:val="00C541C8"/>
    <w:rsid w:val="00C542C4"/>
    <w:rsid w:val="00C54C1D"/>
    <w:rsid w:val="00C5655A"/>
    <w:rsid w:val="00C56578"/>
    <w:rsid w:val="00C56A16"/>
    <w:rsid w:val="00C626F4"/>
    <w:rsid w:val="00C64A79"/>
    <w:rsid w:val="00C66B36"/>
    <w:rsid w:val="00C67579"/>
    <w:rsid w:val="00C72A92"/>
    <w:rsid w:val="00C72F88"/>
    <w:rsid w:val="00C73575"/>
    <w:rsid w:val="00C73CDC"/>
    <w:rsid w:val="00C766D2"/>
    <w:rsid w:val="00C807D6"/>
    <w:rsid w:val="00C8082A"/>
    <w:rsid w:val="00C81CAB"/>
    <w:rsid w:val="00C82509"/>
    <w:rsid w:val="00C828D4"/>
    <w:rsid w:val="00C8550C"/>
    <w:rsid w:val="00C85BD8"/>
    <w:rsid w:val="00C85E0F"/>
    <w:rsid w:val="00C85E27"/>
    <w:rsid w:val="00C900CA"/>
    <w:rsid w:val="00C90AC4"/>
    <w:rsid w:val="00C90DF8"/>
    <w:rsid w:val="00C934D6"/>
    <w:rsid w:val="00C93EE3"/>
    <w:rsid w:val="00C95460"/>
    <w:rsid w:val="00C96232"/>
    <w:rsid w:val="00CA058D"/>
    <w:rsid w:val="00CA4C2C"/>
    <w:rsid w:val="00CA729A"/>
    <w:rsid w:val="00CA7544"/>
    <w:rsid w:val="00CA7F87"/>
    <w:rsid w:val="00CB00CA"/>
    <w:rsid w:val="00CB0875"/>
    <w:rsid w:val="00CB2C1F"/>
    <w:rsid w:val="00CB3439"/>
    <w:rsid w:val="00CB4013"/>
    <w:rsid w:val="00CB4BEC"/>
    <w:rsid w:val="00CB4C1A"/>
    <w:rsid w:val="00CB501C"/>
    <w:rsid w:val="00CB6C81"/>
    <w:rsid w:val="00CB77EA"/>
    <w:rsid w:val="00CB7AA9"/>
    <w:rsid w:val="00CC1143"/>
    <w:rsid w:val="00CC26D0"/>
    <w:rsid w:val="00CC302B"/>
    <w:rsid w:val="00CC40E2"/>
    <w:rsid w:val="00CC47DD"/>
    <w:rsid w:val="00CC4D7F"/>
    <w:rsid w:val="00CC5173"/>
    <w:rsid w:val="00CC578B"/>
    <w:rsid w:val="00CC6AEC"/>
    <w:rsid w:val="00CC7B78"/>
    <w:rsid w:val="00CC7D1F"/>
    <w:rsid w:val="00CD11A3"/>
    <w:rsid w:val="00CD3372"/>
    <w:rsid w:val="00CD5F30"/>
    <w:rsid w:val="00CD6DFA"/>
    <w:rsid w:val="00CE41E1"/>
    <w:rsid w:val="00CE42F4"/>
    <w:rsid w:val="00CE5B0C"/>
    <w:rsid w:val="00CE7C23"/>
    <w:rsid w:val="00CF0E19"/>
    <w:rsid w:val="00CF1CBF"/>
    <w:rsid w:val="00CF3D6A"/>
    <w:rsid w:val="00CF40AB"/>
    <w:rsid w:val="00CF4239"/>
    <w:rsid w:val="00CF4F08"/>
    <w:rsid w:val="00CF5121"/>
    <w:rsid w:val="00CF5AB8"/>
    <w:rsid w:val="00D01A26"/>
    <w:rsid w:val="00D02B0A"/>
    <w:rsid w:val="00D06CDD"/>
    <w:rsid w:val="00D10798"/>
    <w:rsid w:val="00D11D19"/>
    <w:rsid w:val="00D11FCF"/>
    <w:rsid w:val="00D1226C"/>
    <w:rsid w:val="00D126A2"/>
    <w:rsid w:val="00D13959"/>
    <w:rsid w:val="00D145A7"/>
    <w:rsid w:val="00D16E40"/>
    <w:rsid w:val="00D1706A"/>
    <w:rsid w:val="00D20571"/>
    <w:rsid w:val="00D227AE"/>
    <w:rsid w:val="00D230AD"/>
    <w:rsid w:val="00D2568A"/>
    <w:rsid w:val="00D26545"/>
    <w:rsid w:val="00D2721C"/>
    <w:rsid w:val="00D32B57"/>
    <w:rsid w:val="00D33D68"/>
    <w:rsid w:val="00D36755"/>
    <w:rsid w:val="00D369B4"/>
    <w:rsid w:val="00D37AD4"/>
    <w:rsid w:val="00D40477"/>
    <w:rsid w:val="00D419BB"/>
    <w:rsid w:val="00D4412B"/>
    <w:rsid w:val="00D47409"/>
    <w:rsid w:val="00D5096C"/>
    <w:rsid w:val="00D50B6B"/>
    <w:rsid w:val="00D52B1F"/>
    <w:rsid w:val="00D55840"/>
    <w:rsid w:val="00D60710"/>
    <w:rsid w:val="00D60B66"/>
    <w:rsid w:val="00D61037"/>
    <w:rsid w:val="00D61786"/>
    <w:rsid w:val="00D63279"/>
    <w:rsid w:val="00D661CB"/>
    <w:rsid w:val="00D66204"/>
    <w:rsid w:val="00D674EA"/>
    <w:rsid w:val="00D71DDB"/>
    <w:rsid w:val="00D72497"/>
    <w:rsid w:val="00D73131"/>
    <w:rsid w:val="00D73ACA"/>
    <w:rsid w:val="00D75570"/>
    <w:rsid w:val="00D76B00"/>
    <w:rsid w:val="00D76B6E"/>
    <w:rsid w:val="00D76C1D"/>
    <w:rsid w:val="00D77293"/>
    <w:rsid w:val="00D80F50"/>
    <w:rsid w:val="00D8123F"/>
    <w:rsid w:val="00D812A0"/>
    <w:rsid w:val="00D817C6"/>
    <w:rsid w:val="00D83AD7"/>
    <w:rsid w:val="00D83D48"/>
    <w:rsid w:val="00D84F45"/>
    <w:rsid w:val="00D852F1"/>
    <w:rsid w:val="00D85969"/>
    <w:rsid w:val="00D863D5"/>
    <w:rsid w:val="00D9126C"/>
    <w:rsid w:val="00D91562"/>
    <w:rsid w:val="00D91BB3"/>
    <w:rsid w:val="00D94377"/>
    <w:rsid w:val="00D96AA8"/>
    <w:rsid w:val="00DA14E3"/>
    <w:rsid w:val="00DA17EB"/>
    <w:rsid w:val="00DA1D5B"/>
    <w:rsid w:val="00DA32D2"/>
    <w:rsid w:val="00DA3425"/>
    <w:rsid w:val="00DA37B4"/>
    <w:rsid w:val="00DA591D"/>
    <w:rsid w:val="00DA6FC6"/>
    <w:rsid w:val="00DA7955"/>
    <w:rsid w:val="00DB076C"/>
    <w:rsid w:val="00DB0A6A"/>
    <w:rsid w:val="00DB37F2"/>
    <w:rsid w:val="00DB5C81"/>
    <w:rsid w:val="00DB6BF4"/>
    <w:rsid w:val="00DC058F"/>
    <w:rsid w:val="00DC1898"/>
    <w:rsid w:val="00DC3505"/>
    <w:rsid w:val="00DC6D8E"/>
    <w:rsid w:val="00DC71E6"/>
    <w:rsid w:val="00DD1DD0"/>
    <w:rsid w:val="00DD35D6"/>
    <w:rsid w:val="00DD3BDB"/>
    <w:rsid w:val="00DD46EC"/>
    <w:rsid w:val="00DD4AE3"/>
    <w:rsid w:val="00DE29E1"/>
    <w:rsid w:val="00DE52A4"/>
    <w:rsid w:val="00DE5A68"/>
    <w:rsid w:val="00DE5EF1"/>
    <w:rsid w:val="00DE73A4"/>
    <w:rsid w:val="00DF0380"/>
    <w:rsid w:val="00DF0D55"/>
    <w:rsid w:val="00DF1C09"/>
    <w:rsid w:val="00DF2502"/>
    <w:rsid w:val="00DF50A1"/>
    <w:rsid w:val="00DF6E67"/>
    <w:rsid w:val="00E0069E"/>
    <w:rsid w:val="00E006BB"/>
    <w:rsid w:val="00E00CA2"/>
    <w:rsid w:val="00E02720"/>
    <w:rsid w:val="00E056D7"/>
    <w:rsid w:val="00E05870"/>
    <w:rsid w:val="00E059C9"/>
    <w:rsid w:val="00E105D7"/>
    <w:rsid w:val="00E1207D"/>
    <w:rsid w:val="00E14CF2"/>
    <w:rsid w:val="00E162FF"/>
    <w:rsid w:val="00E16A75"/>
    <w:rsid w:val="00E1769D"/>
    <w:rsid w:val="00E2024A"/>
    <w:rsid w:val="00E2090D"/>
    <w:rsid w:val="00E24979"/>
    <w:rsid w:val="00E2546B"/>
    <w:rsid w:val="00E26767"/>
    <w:rsid w:val="00E30114"/>
    <w:rsid w:val="00E30740"/>
    <w:rsid w:val="00E31385"/>
    <w:rsid w:val="00E328E4"/>
    <w:rsid w:val="00E32DB5"/>
    <w:rsid w:val="00E33D81"/>
    <w:rsid w:val="00E34E2C"/>
    <w:rsid w:val="00E352D6"/>
    <w:rsid w:val="00E35E94"/>
    <w:rsid w:val="00E37C4B"/>
    <w:rsid w:val="00E42C66"/>
    <w:rsid w:val="00E4478E"/>
    <w:rsid w:val="00E45ABC"/>
    <w:rsid w:val="00E477B0"/>
    <w:rsid w:val="00E502AE"/>
    <w:rsid w:val="00E526DF"/>
    <w:rsid w:val="00E54ADC"/>
    <w:rsid w:val="00E54BD9"/>
    <w:rsid w:val="00E55424"/>
    <w:rsid w:val="00E55771"/>
    <w:rsid w:val="00E57049"/>
    <w:rsid w:val="00E627FD"/>
    <w:rsid w:val="00E65452"/>
    <w:rsid w:val="00E66B48"/>
    <w:rsid w:val="00E70647"/>
    <w:rsid w:val="00E733F5"/>
    <w:rsid w:val="00E747E5"/>
    <w:rsid w:val="00E7650D"/>
    <w:rsid w:val="00E76C85"/>
    <w:rsid w:val="00E801DA"/>
    <w:rsid w:val="00E80344"/>
    <w:rsid w:val="00E835CB"/>
    <w:rsid w:val="00E845F5"/>
    <w:rsid w:val="00E86A11"/>
    <w:rsid w:val="00E87A50"/>
    <w:rsid w:val="00E900EC"/>
    <w:rsid w:val="00E90F71"/>
    <w:rsid w:val="00E91305"/>
    <w:rsid w:val="00E9217B"/>
    <w:rsid w:val="00E92532"/>
    <w:rsid w:val="00E92D23"/>
    <w:rsid w:val="00E94AF9"/>
    <w:rsid w:val="00E952D7"/>
    <w:rsid w:val="00E95EF8"/>
    <w:rsid w:val="00E97FE3"/>
    <w:rsid w:val="00EA3904"/>
    <w:rsid w:val="00EA3B80"/>
    <w:rsid w:val="00EA462B"/>
    <w:rsid w:val="00EA659C"/>
    <w:rsid w:val="00EA7232"/>
    <w:rsid w:val="00EB1E03"/>
    <w:rsid w:val="00EB37A9"/>
    <w:rsid w:val="00EB3D4D"/>
    <w:rsid w:val="00EB49DE"/>
    <w:rsid w:val="00EB7AE7"/>
    <w:rsid w:val="00EC04B5"/>
    <w:rsid w:val="00EC2DE0"/>
    <w:rsid w:val="00EC2EA3"/>
    <w:rsid w:val="00EC330A"/>
    <w:rsid w:val="00EC5684"/>
    <w:rsid w:val="00EC5CA6"/>
    <w:rsid w:val="00ED0A2F"/>
    <w:rsid w:val="00ED2FA4"/>
    <w:rsid w:val="00ED39E4"/>
    <w:rsid w:val="00ED4A75"/>
    <w:rsid w:val="00ED5754"/>
    <w:rsid w:val="00ED6D6C"/>
    <w:rsid w:val="00ED7A57"/>
    <w:rsid w:val="00EE1487"/>
    <w:rsid w:val="00EE22B2"/>
    <w:rsid w:val="00EE40DD"/>
    <w:rsid w:val="00EE50A6"/>
    <w:rsid w:val="00EE7505"/>
    <w:rsid w:val="00EF03CD"/>
    <w:rsid w:val="00EF28EF"/>
    <w:rsid w:val="00EF5373"/>
    <w:rsid w:val="00EF6913"/>
    <w:rsid w:val="00F01F31"/>
    <w:rsid w:val="00F04E82"/>
    <w:rsid w:val="00F07A57"/>
    <w:rsid w:val="00F10C34"/>
    <w:rsid w:val="00F110E7"/>
    <w:rsid w:val="00F13E65"/>
    <w:rsid w:val="00F158CA"/>
    <w:rsid w:val="00F17ECD"/>
    <w:rsid w:val="00F22BA0"/>
    <w:rsid w:val="00F24331"/>
    <w:rsid w:val="00F25A90"/>
    <w:rsid w:val="00F27240"/>
    <w:rsid w:val="00F3002A"/>
    <w:rsid w:val="00F30679"/>
    <w:rsid w:val="00F30D52"/>
    <w:rsid w:val="00F3213C"/>
    <w:rsid w:val="00F355FF"/>
    <w:rsid w:val="00F37025"/>
    <w:rsid w:val="00F42E33"/>
    <w:rsid w:val="00F44B32"/>
    <w:rsid w:val="00F460FC"/>
    <w:rsid w:val="00F504A9"/>
    <w:rsid w:val="00F50FC0"/>
    <w:rsid w:val="00F52E6E"/>
    <w:rsid w:val="00F5355F"/>
    <w:rsid w:val="00F550CA"/>
    <w:rsid w:val="00F5583D"/>
    <w:rsid w:val="00F56402"/>
    <w:rsid w:val="00F56642"/>
    <w:rsid w:val="00F576AC"/>
    <w:rsid w:val="00F6006D"/>
    <w:rsid w:val="00F60E1F"/>
    <w:rsid w:val="00F62093"/>
    <w:rsid w:val="00F6378A"/>
    <w:rsid w:val="00F6381A"/>
    <w:rsid w:val="00F67ECF"/>
    <w:rsid w:val="00F7183E"/>
    <w:rsid w:val="00F72E6E"/>
    <w:rsid w:val="00F74891"/>
    <w:rsid w:val="00F756BB"/>
    <w:rsid w:val="00F76475"/>
    <w:rsid w:val="00F77F05"/>
    <w:rsid w:val="00F8023E"/>
    <w:rsid w:val="00F80FE5"/>
    <w:rsid w:val="00F815D5"/>
    <w:rsid w:val="00F823EF"/>
    <w:rsid w:val="00F82608"/>
    <w:rsid w:val="00F833F1"/>
    <w:rsid w:val="00F841C8"/>
    <w:rsid w:val="00F8458E"/>
    <w:rsid w:val="00F8629E"/>
    <w:rsid w:val="00F86C1A"/>
    <w:rsid w:val="00F903B9"/>
    <w:rsid w:val="00F90B36"/>
    <w:rsid w:val="00F910D2"/>
    <w:rsid w:val="00F91901"/>
    <w:rsid w:val="00F925A8"/>
    <w:rsid w:val="00F92691"/>
    <w:rsid w:val="00F92F0F"/>
    <w:rsid w:val="00F96AF6"/>
    <w:rsid w:val="00FA10A9"/>
    <w:rsid w:val="00FA1230"/>
    <w:rsid w:val="00FA1D6B"/>
    <w:rsid w:val="00FA3155"/>
    <w:rsid w:val="00FA521D"/>
    <w:rsid w:val="00FA736C"/>
    <w:rsid w:val="00FA756F"/>
    <w:rsid w:val="00FA7E6E"/>
    <w:rsid w:val="00FB059B"/>
    <w:rsid w:val="00FB7E51"/>
    <w:rsid w:val="00FC4B94"/>
    <w:rsid w:val="00FC5745"/>
    <w:rsid w:val="00FC5AFB"/>
    <w:rsid w:val="00FD335C"/>
    <w:rsid w:val="00FD4E10"/>
    <w:rsid w:val="00FD5060"/>
    <w:rsid w:val="00FD552B"/>
    <w:rsid w:val="00FD6756"/>
    <w:rsid w:val="00FD7025"/>
    <w:rsid w:val="00FD7A1D"/>
    <w:rsid w:val="00FD7FDB"/>
    <w:rsid w:val="00FE08E6"/>
    <w:rsid w:val="00FE0DF7"/>
    <w:rsid w:val="00FE18F1"/>
    <w:rsid w:val="00FE2973"/>
    <w:rsid w:val="00FE65E0"/>
    <w:rsid w:val="00FF0475"/>
    <w:rsid w:val="00FF070C"/>
    <w:rsid w:val="00FF125C"/>
    <w:rsid w:val="00FF3322"/>
    <w:rsid w:val="00FF53F6"/>
    <w:rsid w:val="00FF5E6B"/>
    <w:rsid w:val="00FF6189"/>
    <w:rsid w:val="26FB6B6F"/>
    <w:rsid w:val="367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4CE58"/>
  <w15:docId w15:val="{94FA7874-676A-4E44-90B5-9158C7F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0C"/>
    <w:rPr>
      <w:color w:val="0000FF"/>
      <w:u w:val="single"/>
    </w:rPr>
  </w:style>
  <w:style w:type="paragraph" w:styleId="NoSpacing">
    <w:name w:val="No Spacing"/>
    <w:uiPriority w:val="1"/>
    <w:qFormat/>
    <w:rsid w:val="0059716F"/>
  </w:style>
  <w:style w:type="character" w:styleId="FollowedHyperlink">
    <w:name w:val="FollowedHyperlink"/>
    <w:basedOn w:val="DefaultParagraphFont"/>
    <w:uiPriority w:val="99"/>
    <w:semiHidden/>
    <w:unhideWhenUsed/>
    <w:rsid w:val="00C67579"/>
    <w:rPr>
      <w:color w:val="800080" w:themeColor="followedHyperlink"/>
      <w:u w:val="single"/>
    </w:rPr>
  </w:style>
  <w:style w:type="paragraph" w:customStyle="1" w:styleId="Noparagraphstyle">
    <w:name w:val="[No paragraph style]"/>
    <w:rsid w:val="00BD7E9F"/>
    <w:pPr>
      <w:spacing w:line="288" w:lineRule="auto"/>
    </w:pPr>
    <w:rPr>
      <w:rFonts w:ascii="Times (T1)" w:hAnsi="Times (T1)"/>
      <w:snapToGrid w:val="0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A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7F8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02203F"/>
  </w:style>
  <w:style w:type="character" w:customStyle="1" w:styleId="eop">
    <w:name w:val="eop"/>
    <w:basedOn w:val="DefaultParagraphFont"/>
    <w:rsid w:val="0002203F"/>
  </w:style>
  <w:style w:type="paragraph" w:customStyle="1" w:styleId="Default">
    <w:name w:val="Default"/>
    <w:rsid w:val="00FC4B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4650309EAF4880BFEFA1CD8EF19A" ma:contentTypeVersion="17" ma:contentTypeDescription="Create a new document." ma:contentTypeScope="" ma:versionID="32b21276f5f5fcb42db3f7c21db58e1c">
  <xsd:schema xmlns:xsd="http://www.w3.org/2001/XMLSchema" xmlns:xs="http://www.w3.org/2001/XMLSchema" xmlns:p="http://schemas.microsoft.com/office/2006/metadata/properties" xmlns:ns2="ebf0501f-68f1-431a-8dcc-10a72c81ed05" xmlns:ns3="99595b39-db54-45c7-b7e3-6a0b758633c1" targetNamespace="http://schemas.microsoft.com/office/2006/metadata/properties" ma:root="true" ma:fieldsID="84a7651ee787bcddbda7292e9d7bd6a7" ns2:_="" ns3:_="">
    <xsd:import namespace="ebf0501f-68f1-431a-8dcc-10a72c81ed05"/>
    <xsd:import namespace="99595b39-db54-45c7-b7e3-6a0b758633c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501f-68f1-431a-8dcc-10a72c81ed0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Status Pending" ma:description="G8 - both CP and RP letters have been sent&#10;J7 - mediation failed" ma:format="Dropdown" ma:internalName="Status">
      <xsd:simpleType>
        <xsd:restriction base="dms:Choice">
          <xsd:enumeration value="Status Pending"/>
          <xsd:enumeration value="G8"/>
          <xsd:enumeration value="J7"/>
          <xsd:enumeration value="Faith Penn"/>
        </xsd:restriction>
      </xsd:simpleType>
    </xsd:element>
    <xsd:element name="Comments" ma:index="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b39-db54-45c7-b7e3-6a0b75863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bf0501f-68f1-431a-8dcc-10a72c81ed05" xsi:nil="true"/>
    <Status xmlns="ebf0501f-68f1-431a-8dcc-10a72c81ed05">Status Pending</Status>
  </documentManagement>
</p:properties>
</file>

<file path=customXml/itemProps1.xml><?xml version="1.0" encoding="utf-8"?>
<ds:datastoreItem xmlns:ds="http://schemas.openxmlformats.org/officeDocument/2006/customXml" ds:itemID="{2DCA5784-425D-4379-B8D8-C42F69B8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501f-68f1-431a-8dcc-10a72c81ed05"/>
    <ds:schemaRef ds:uri="99595b39-db54-45c7-b7e3-6a0b75863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E606F7-275E-4413-9508-8D92B1C5B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A3E8-5B94-4849-98AE-34F03C042D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B8E9D-C8E4-42C8-A4A4-58DF7F3C84DF}">
  <ds:schemaRefs>
    <ds:schemaRef ds:uri="http://schemas.microsoft.com/office/2006/metadata/properties"/>
    <ds:schemaRef ds:uri="http://schemas.microsoft.com/office/infopath/2007/PartnerControls"/>
    <ds:schemaRef ds:uri="ebf0501f-68f1-431a-8dcc-10a72c81e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POLICIES AND PROCEDURES REVIEW CHECKLIST</vt:lpstr>
    </vt:vector>
  </TitlesOfParts>
  <Company>The Texas A&amp;M University System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Olshak, Rick</dc:creator>
  <cp:lastModifiedBy>Olshak, Rick</cp:lastModifiedBy>
  <cp:revision>2</cp:revision>
  <cp:lastPrinted>2024-03-18T14:26:00Z</cp:lastPrinted>
  <dcterms:created xsi:type="dcterms:W3CDTF">2024-04-20T15:15:00Z</dcterms:created>
  <dcterms:modified xsi:type="dcterms:W3CDTF">2024-04-20T15:15:00Z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0x01010051124650309EAF4880BFEFA1CD8EF19A</vt:lpwstr>
  </property>
</Properties>
</file>